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D8" w:rsidRPr="003B69D8" w:rsidRDefault="003B69D8" w:rsidP="003B69D8">
      <w:pPr>
        <w:shd w:val="clear" w:color="auto" w:fill="F4F7F9"/>
        <w:spacing w:after="390" w:line="510" w:lineRule="atLeast"/>
        <w:outlineLvl w:val="0"/>
        <w:rPr>
          <w:rFonts w:ascii="Arial" w:eastAsia="Times New Roman" w:hAnsi="Arial" w:cs="Arial"/>
          <w:b/>
          <w:bCs/>
          <w:color w:val="22292E"/>
          <w:kern w:val="36"/>
          <w:sz w:val="45"/>
          <w:szCs w:val="45"/>
          <w:lang w:eastAsia="ru-RU"/>
        </w:rPr>
      </w:pPr>
      <w:proofErr w:type="spellStart"/>
      <w:r w:rsidRPr="003B69D8">
        <w:rPr>
          <w:rFonts w:ascii="Arial" w:eastAsia="Times New Roman" w:hAnsi="Arial" w:cs="Arial"/>
          <w:b/>
          <w:bCs/>
          <w:color w:val="22292E"/>
          <w:kern w:val="36"/>
          <w:sz w:val="45"/>
          <w:szCs w:val="45"/>
          <w:lang w:eastAsia="ru-RU"/>
        </w:rPr>
        <w:t>Иннопром</w:t>
      </w:r>
      <w:proofErr w:type="spellEnd"/>
      <w:r w:rsidRPr="003B69D8">
        <w:rPr>
          <w:rFonts w:ascii="Arial" w:eastAsia="Times New Roman" w:hAnsi="Arial" w:cs="Arial"/>
          <w:b/>
          <w:bCs/>
          <w:color w:val="22292E"/>
          <w:kern w:val="36"/>
          <w:sz w:val="45"/>
          <w:szCs w:val="45"/>
          <w:lang w:eastAsia="ru-RU"/>
        </w:rPr>
        <w:t xml:space="preserve">. </w:t>
      </w:r>
      <w:r w:rsidR="006E1817">
        <w:rPr>
          <w:rFonts w:ascii="Arial" w:eastAsia="Times New Roman" w:hAnsi="Arial" w:cs="Arial"/>
          <w:b/>
          <w:bCs/>
          <w:color w:val="22292E"/>
          <w:kern w:val="36"/>
          <w:sz w:val="45"/>
          <w:szCs w:val="45"/>
          <w:lang w:eastAsia="ru-RU"/>
        </w:rPr>
        <w:t>Сессия «И</w:t>
      </w:r>
      <w:r w:rsidRPr="003B69D8">
        <w:rPr>
          <w:rFonts w:ascii="Arial" w:eastAsia="Times New Roman" w:hAnsi="Arial" w:cs="Arial"/>
          <w:b/>
          <w:bCs/>
          <w:color w:val="22292E"/>
          <w:kern w:val="36"/>
          <w:sz w:val="45"/>
          <w:szCs w:val="45"/>
          <w:lang w:eastAsia="ru-RU"/>
        </w:rPr>
        <w:t>мпортозамещение в теплоэнергетике: адаптация к новым условиям</w:t>
      </w:r>
      <w:r w:rsidR="006E1817">
        <w:rPr>
          <w:rFonts w:ascii="Arial" w:eastAsia="Times New Roman" w:hAnsi="Arial" w:cs="Arial"/>
          <w:b/>
          <w:bCs/>
          <w:color w:val="22292E"/>
          <w:kern w:val="36"/>
          <w:sz w:val="45"/>
          <w:szCs w:val="45"/>
          <w:lang w:eastAsia="ru-RU"/>
        </w:rPr>
        <w:t>»</w:t>
      </w:r>
    </w:p>
    <w:p w:rsidR="003B69D8" w:rsidRPr="003B69D8" w:rsidRDefault="003B69D8" w:rsidP="003B69D8">
      <w:pPr>
        <w:shd w:val="clear" w:color="auto" w:fill="F4F7F9"/>
        <w:spacing w:after="0" w:line="240" w:lineRule="auto"/>
        <w:rPr>
          <w:rFonts w:ascii="Arial" w:eastAsia="Times New Roman" w:hAnsi="Arial" w:cs="Arial"/>
          <w:b/>
          <w:bCs/>
          <w:color w:val="22292E"/>
          <w:sz w:val="24"/>
          <w:szCs w:val="24"/>
          <w:lang w:eastAsia="ru-RU"/>
        </w:rPr>
      </w:pPr>
      <w:r w:rsidRPr="003B69D8">
        <w:rPr>
          <w:rFonts w:ascii="Arial" w:eastAsia="Times New Roman" w:hAnsi="Arial" w:cs="Arial"/>
          <w:b/>
          <w:bCs/>
          <w:color w:val="22292E"/>
          <w:sz w:val="72"/>
          <w:szCs w:val="72"/>
          <w:lang w:eastAsia="ru-RU"/>
        </w:rPr>
        <w:t>05</w:t>
      </w:r>
      <w:r w:rsidRPr="003B69D8">
        <w:rPr>
          <w:rFonts w:ascii="Arial" w:eastAsia="Times New Roman" w:hAnsi="Arial" w:cs="Arial"/>
          <w:b/>
          <w:bCs/>
          <w:color w:val="22292E"/>
          <w:sz w:val="24"/>
          <w:szCs w:val="24"/>
          <w:lang w:eastAsia="ru-RU"/>
        </w:rPr>
        <w:t>июля 2022</w:t>
      </w:r>
      <w:r w:rsidRPr="003B69D8">
        <w:rPr>
          <w:rFonts w:ascii="Arial" w:eastAsia="Times New Roman" w:hAnsi="Arial" w:cs="Arial"/>
          <w:color w:val="525658"/>
          <w:sz w:val="24"/>
          <w:szCs w:val="24"/>
          <w:lang w:eastAsia="ru-RU"/>
        </w:rPr>
        <w:t>Вторник</w:t>
      </w:r>
    </w:p>
    <w:p w:rsidR="003B69D8" w:rsidRPr="003B69D8" w:rsidRDefault="003B69D8" w:rsidP="003B69D8">
      <w:pPr>
        <w:shd w:val="clear" w:color="auto" w:fill="F4F7F9"/>
        <w:spacing w:line="240" w:lineRule="auto"/>
        <w:rPr>
          <w:rFonts w:ascii="Arial" w:eastAsia="Times New Roman" w:hAnsi="Arial" w:cs="Arial"/>
          <w:b/>
          <w:bCs/>
          <w:color w:val="C4A600"/>
          <w:sz w:val="21"/>
          <w:szCs w:val="21"/>
          <w:lang w:eastAsia="ru-RU"/>
        </w:rPr>
      </w:pPr>
      <w:r w:rsidRPr="003B69D8">
        <w:rPr>
          <w:rFonts w:ascii="Arial" w:eastAsia="Times New Roman" w:hAnsi="Arial" w:cs="Arial"/>
          <w:b/>
          <w:bCs/>
          <w:color w:val="C4A600"/>
          <w:sz w:val="21"/>
          <w:szCs w:val="21"/>
          <w:lang w:eastAsia="ru-RU"/>
        </w:rPr>
        <w:t>Энергетика</w:t>
      </w:r>
    </w:p>
    <w:p w:rsidR="003B69D8" w:rsidRPr="003B69D8" w:rsidRDefault="003B69D8" w:rsidP="003B69D8">
      <w:pPr>
        <w:shd w:val="clear" w:color="auto" w:fill="F4F7F9"/>
        <w:spacing w:after="0" w:line="270" w:lineRule="atLeast"/>
        <w:rPr>
          <w:rFonts w:ascii="Arial" w:eastAsia="Times New Roman" w:hAnsi="Arial" w:cs="Arial"/>
          <w:b/>
          <w:bCs/>
          <w:color w:val="22292E"/>
          <w:spacing w:val="2"/>
          <w:sz w:val="21"/>
          <w:szCs w:val="21"/>
          <w:lang w:eastAsia="ru-RU"/>
        </w:rPr>
      </w:pPr>
      <w:r w:rsidRPr="003B69D8">
        <w:rPr>
          <w:rFonts w:ascii="Arial" w:eastAsia="Times New Roman" w:hAnsi="Arial" w:cs="Arial"/>
          <w:b/>
          <w:bCs/>
          <w:color w:val="22292E"/>
          <w:spacing w:val="2"/>
          <w:sz w:val="21"/>
          <w:szCs w:val="21"/>
          <w:lang w:eastAsia="ru-RU"/>
        </w:rPr>
        <w:t>Место проведения: </w:t>
      </w:r>
      <w:r w:rsidRPr="003B69D8">
        <w:rPr>
          <w:rFonts w:ascii="Arial" w:eastAsia="Times New Roman" w:hAnsi="Arial" w:cs="Arial"/>
          <w:color w:val="525658"/>
          <w:spacing w:val="2"/>
          <w:sz w:val="21"/>
          <w:szCs w:val="21"/>
          <w:lang w:eastAsia="ru-RU"/>
        </w:rPr>
        <w:t>МВЦ «Екатеринбург-Экспо», Экспо Бульвар, 2, Конгресс-центр, ЗАЛ 3.6</w:t>
      </w:r>
    </w:p>
    <w:p w:rsidR="003B69D8" w:rsidRPr="005B78D4" w:rsidRDefault="003B69D8" w:rsidP="005B78D4">
      <w:pPr>
        <w:spacing w:line="360" w:lineRule="atLeast"/>
        <w:rPr>
          <w:rFonts w:ascii="Arial" w:eastAsia="Times New Roman" w:hAnsi="Arial" w:cs="Arial"/>
          <w:color w:val="22292E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92E"/>
          <w:sz w:val="24"/>
          <w:szCs w:val="24"/>
          <w:lang w:eastAsia="ru-RU"/>
        </w:rPr>
        <w:drawing>
          <wp:inline distT="0" distB="0" distL="0" distR="0" wp14:anchorId="0202A25A" wp14:editId="3A1AF711">
            <wp:extent cx="6170997" cy="3474043"/>
            <wp:effectExtent l="0" t="0" r="1270" b="0"/>
            <wp:docPr id="12" name="Рисунок 12" descr="Иннопром. Деловая сессия КоммерсантЪ. Импортозамещение в теплоэнергетике: адаптация к новым услов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нопром. Деловая сессия КоммерсантЪ. Импортозамещение в теплоэнергетике: адаптация к новым услови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97" cy="347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D8" w:rsidRPr="005B78D4" w:rsidRDefault="003B69D8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Объекты теплоэнергетической инфраструктуры Свердловской области достигли критического состояния. По оценкам правительства региона, средний износ оборудования превышает 60%, а в некоторых территориях  достигает 80%–100%.  При этом восстановление комплекса требует серьезных инвестиций: проведение масштабной модернизации обойдется более чем в 113 </w:t>
      </w:r>
      <w:proofErr w:type="gram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Однако возможности бюджета и энергокомпаний оказались существенно меньше потребностей отрасли, годами находившейся в состоянии недофинансирования. В последние годы участники рынка и субъект могли обеспечить регулярное финансирование не более 6–7 </w:t>
      </w:r>
      <w:proofErr w:type="gram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Сейчас к этой проблеме добавилось удорожание материалов и уход с российского рынка практически всех иностранных компаний, занимавших большую долю на рынке теплоэнергетического оборудования.  В рамках деловой сессии ИД «Коммерсантъ-Урал» в партнерстве с «Дорогобужкотломаш» на  «Иннопроме-2022» представители уральского энергетического комплекса, производители оборудования и органы  власти обсудили проблемы и перспективы импортозамещения в отрасли.</w:t>
      </w:r>
    </w:p>
    <w:p w:rsidR="003B69D8" w:rsidRPr="005B78D4" w:rsidRDefault="006E1817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285750" distR="285750" simplePos="0" relativeHeight="251655168" behindDoc="0" locked="0" layoutInCell="1" allowOverlap="0" wp14:anchorId="36A388C9" wp14:editId="3AC366EE">
            <wp:simplePos x="0" y="0"/>
            <wp:positionH relativeFrom="column">
              <wp:posOffset>0</wp:posOffset>
            </wp:positionH>
            <wp:positionV relativeFrom="line">
              <wp:posOffset>97790</wp:posOffset>
            </wp:positionV>
            <wp:extent cx="1428750" cy="1428750"/>
            <wp:effectExtent l="0" t="0" r="0" b="0"/>
            <wp:wrapSquare wrapText="bothSides"/>
            <wp:docPr id="18" name="Рисунок 18" descr="https://events.kommersant.ru/ural/wp-content/uploads/sites/3/2021/09/chikrizov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vents.kommersant.ru/ural/wp-content/uploads/sites/3/2021/09/chikrizov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9D8" w:rsidRPr="005B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взять деньги?</w:t>
      </w:r>
    </w:p>
    <w:p w:rsidR="003B69D8" w:rsidRPr="005B78D4" w:rsidRDefault="003B69D8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Замминистра энергетики и ЖКХ Свердловской области </w:t>
      </w:r>
      <w:r w:rsidRPr="005B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Игорь </w:t>
      </w:r>
      <w:proofErr w:type="spellStart"/>
      <w:r w:rsidRPr="005B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Чикризов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отметил положительный опыт региона в привлечении частных инвестиций на модернизацию муниципальной </w:t>
      </w:r>
      <w:proofErr w:type="spell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теплогенерации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9D8" w:rsidRPr="005B78D4" w:rsidRDefault="003B69D8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теплу у нас заключены концессионные соглашения в 26 муниципалитетах на общую сумму в 21 </w:t>
      </w:r>
      <w:proofErr w:type="gram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Из этой суммы </w:t>
      </w: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13,5 млрд руб. — средства концессионеров, оставшиеся 7,5 млрд руб. выделила область. В этом и суть ГЧП, чтобы совместными усилиями решать сложные задачи. Также серьезную поддержку оказывает федеральный бюджет и фонд национального благосостояния, который предоставляет льготные кредиты под 3% на срок до 25 лет. В настоящий момент направлено уже 7 заявок на 7,5 </w:t>
      </w:r>
      <w:proofErr w:type="gram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одна из которых от компании “Т Плюс” уже одобрена»,— рассказал Игорь </w:t>
      </w:r>
      <w:proofErr w:type="spell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Чикризов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9D8" w:rsidRDefault="003B69D8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финансирования и наращивание темпов модернизации систем теплоснабжения создает большую потребность в новом, современном оборудовании и комплектующих.  Однако с ростом </w:t>
      </w:r>
      <w:proofErr w:type="spell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санкционного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давления энергетики стали ощущать дефицит целого ряда позиций. Таким образом,  после прекращения поставок зарубежной продукции российские энергокомпании сформировали большой спрос на импортозамещение.</w:t>
      </w:r>
    </w:p>
    <w:p w:rsidR="00C9383E" w:rsidRPr="00C9383E" w:rsidRDefault="006E1817" w:rsidP="005B78D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25658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5864AC8" wp14:editId="5BEF91BA">
            <wp:simplePos x="0" y="0"/>
            <wp:positionH relativeFrom="margin">
              <wp:posOffset>-4445</wp:posOffset>
            </wp:positionH>
            <wp:positionV relativeFrom="margin">
              <wp:posOffset>2438400</wp:posOffset>
            </wp:positionV>
            <wp:extent cx="1432560" cy="1432560"/>
            <wp:effectExtent l="0" t="0" r="0" b="0"/>
            <wp:wrapSquare wrapText="bothSides"/>
            <wp:docPr id="8" name="Рисунок 8" descr="Владимир Ши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ладимир Шил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383E" w:rsidRPr="00C9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</w:t>
      </w:r>
      <w:r w:rsidR="00C9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энергетике </w:t>
      </w:r>
      <w:r w:rsidR="00C9383E" w:rsidRPr="00C9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объединяет усилия! </w:t>
      </w:r>
    </w:p>
    <w:p w:rsidR="004D0D95" w:rsidRPr="004D0D95" w:rsidRDefault="00C9383E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эффективной работы Комитета по энергетике Свердловского областного союза промышленников и предпринимателей (СОСПП), как площадки объединения усилий по импортозамещению и обмена контактами между производителями и потребителями передовых отечественных</w:t>
      </w:r>
      <w:r w:rsidR="004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привел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ститель председателя Комитета </w:t>
      </w:r>
      <w:r w:rsidRPr="00C9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 Шилов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Комитете по энергетике </w:t>
      </w:r>
      <w:r w:rsidR="004D0D95" w:rsidRPr="004D0D95">
        <w:rPr>
          <w:rFonts w:ascii="Times New Roman" w:hAnsi="Times New Roman" w:cs="Times New Roman"/>
          <w:sz w:val="24"/>
          <w:szCs w:val="24"/>
        </w:rPr>
        <w:t>создан и активно работает Экспертный совет, в задачу которого входит анализ технико-экономической эффективности лучших образцов отечественных оборудования и технологий и выдача рекомендаций для их применения в различных отраслях экономики.</w:t>
      </w:r>
      <w:r w:rsidR="004D0D95">
        <w:rPr>
          <w:rFonts w:ascii="Times New Roman" w:hAnsi="Times New Roman" w:cs="Times New Roman"/>
          <w:sz w:val="24"/>
          <w:szCs w:val="24"/>
        </w:rPr>
        <w:t xml:space="preserve"> </w:t>
      </w:r>
      <w:r w:rsidR="004D0D95" w:rsidRPr="004D0D95">
        <w:rPr>
          <w:rFonts w:ascii="Times New Roman" w:hAnsi="Times New Roman" w:cs="Times New Roman"/>
          <w:sz w:val="24"/>
          <w:szCs w:val="24"/>
        </w:rPr>
        <w:t>В состав Экспертного совета входят авторитетные руководители и главные специалисты ведущих российских предприятий, уровень квалификации которых позволяет проводить экспертизу инноваций по широкому диапазону видов деятельности.</w:t>
      </w:r>
      <w:r w:rsidR="004D0D95">
        <w:rPr>
          <w:rFonts w:ascii="Times New Roman" w:hAnsi="Times New Roman" w:cs="Times New Roman"/>
          <w:sz w:val="24"/>
          <w:szCs w:val="24"/>
        </w:rPr>
        <w:t xml:space="preserve"> </w:t>
      </w:r>
      <w:r w:rsidR="004D0D95" w:rsidRPr="004D0D95">
        <w:rPr>
          <w:rFonts w:ascii="Times New Roman" w:hAnsi="Times New Roman" w:cs="Times New Roman"/>
          <w:sz w:val="24"/>
          <w:szCs w:val="24"/>
        </w:rPr>
        <w:t>Экспертным советом сформирован и постоянно пополняется перечень российских компаний-разработчиков и изготовителей инновационных технологий, оборудования и материалов. Перечень регулярно пополняется и направляется в Правительство Свердловской области.</w:t>
      </w:r>
    </w:p>
    <w:p w:rsidR="003B69D8" w:rsidRPr="005B78D4" w:rsidRDefault="006E1817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285750" distR="285750" simplePos="0" relativeHeight="251656192" behindDoc="0" locked="0" layoutInCell="1" allowOverlap="0" wp14:anchorId="4E083567" wp14:editId="2BF58CE2">
            <wp:simplePos x="0" y="0"/>
            <wp:positionH relativeFrom="margin">
              <wp:posOffset>0</wp:posOffset>
            </wp:positionH>
            <wp:positionV relativeFrom="margin">
              <wp:posOffset>5844540</wp:posOffset>
            </wp:positionV>
            <wp:extent cx="1432560" cy="1432560"/>
            <wp:effectExtent l="0" t="0" r="0" b="0"/>
            <wp:wrapSquare wrapText="bothSides"/>
            <wp:docPr id="17" name="Рисунок 17" descr="https://events.kommersant.ru/ural/wp-content/uploads/sites/3/2022/07/krug_budanov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vents.kommersant.ru/ural/wp-content/uploads/sites/3/2022/07/krug_budanov-150x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9D8" w:rsidRPr="005B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 оборудования</w:t>
      </w:r>
    </w:p>
    <w:p w:rsidR="003B69D8" w:rsidRPr="005B78D4" w:rsidRDefault="003B69D8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одной из наиболее важных позиций оборудования, с доступностью которого в  ближайшее время могут начаться проблемы, участники конференции назвали горелочные устройства для котлов. Код оборудования был включен в 5-й пакет санкций ЕС. При этом от него напрямую зависит своевременное проведение ремонтов в коммунальных системах городов, где особенно часто эксплуатируются котельные. Генеральный директор АО «Облкоммунэнерго» </w:t>
      </w:r>
      <w:r w:rsidRPr="005B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Дмитрий Буданов </w:t>
      </w: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рассказал, что сейчас в основном применяются итальянские горелки.</w:t>
      </w:r>
    </w:p>
    <w:p w:rsidR="003B69D8" w:rsidRPr="005B78D4" w:rsidRDefault="003B69D8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«Пока запас оборудования есть, но существуют большие риски, что при необходимости проведения ремонтов на котельных мы столкнемся с его отсутствием»,— сказал глава компании.</w:t>
      </w:r>
    </w:p>
    <w:p w:rsidR="003B69D8" w:rsidRPr="005B78D4" w:rsidRDefault="006E1817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285750" distR="285750" simplePos="0" relativeHeight="251657216" behindDoc="0" locked="0" layoutInCell="1" allowOverlap="0" wp14:anchorId="4FA82E7F" wp14:editId="020C91D6">
            <wp:simplePos x="0" y="0"/>
            <wp:positionH relativeFrom="margin">
              <wp:posOffset>0</wp:posOffset>
            </wp:positionH>
            <wp:positionV relativeFrom="margin">
              <wp:posOffset>8557260</wp:posOffset>
            </wp:positionV>
            <wp:extent cx="1432560" cy="1432560"/>
            <wp:effectExtent l="0" t="0" r="0" b="0"/>
            <wp:wrapSquare wrapText="bothSides"/>
            <wp:docPr id="16" name="Рисунок 16" descr="https://events.kommersant.ru/ural/wp-content/uploads/sites/3/2022/07/krug_goldobin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vents.kommersant.ru/ural/wp-content/uploads/sites/3/2022/07/krug_goldobin-150x1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9D8"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Екатеринбургского филиала по реализации приоритетных инвестиционных проектов ПАО «Т Плюс» </w:t>
      </w:r>
      <w:r w:rsidR="003B69D8" w:rsidRPr="005B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 </w:t>
      </w:r>
      <w:proofErr w:type="spellStart"/>
      <w:r w:rsidR="003B69D8" w:rsidRPr="005B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Голдобин</w:t>
      </w:r>
      <w:proofErr w:type="spellEnd"/>
      <w:r w:rsidR="003B69D8"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добавил, что на рынке также возникают проблемы с обслуживанием иностранных газовых турбин, которые по истечении ресурса должны проходить сервис у производителя.</w:t>
      </w:r>
    </w:p>
    <w:p w:rsidR="003B69D8" w:rsidRPr="005B78D4" w:rsidRDefault="003B69D8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«Чтобы упростить поиск необходимых комплектующих, мы предложили создать общую информационную платформу, где будут </w:t>
      </w:r>
      <w:proofErr w:type="spell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агрегироваться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всех поставщиков, запчастей, решений для восстановления того или иного оборудования. Мы уже вышли с этой инициативой на Минэнерго РФ, создана рабочая группа. Сейчас собираются мнения других энергокомпаний, уже привлечены “</w:t>
      </w:r>
      <w:proofErr w:type="spell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Фортум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и “Газпром </w:t>
      </w:r>
      <w:proofErr w:type="spell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энергохолдинг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»,— добавил Алексей </w:t>
      </w:r>
      <w:proofErr w:type="spell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Голдобин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9D8" w:rsidRPr="005B78D4" w:rsidRDefault="003B69D8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Впрочем, представитель ПАО «Т Плюс» отметил, что компания уже успешно работает с отечественными производителями котельного оборудования, в том числе «Дорогобужкотломаш», и заинтересован в развитии местных предприятий и здоровой конкуренции на рынке.</w:t>
      </w:r>
    </w:p>
    <w:p w:rsidR="003B69D8" w:rsidRPr="005B78D4" w:rsidRDefault="003B69D8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285750" distR="285750" simplePos="0" relativeHeight="251658240" behindDoc="0" locked="0" layoutInCell="1" allowOverlap="0" wp14:anchorId="786A174E" wp14:editId="190CF18A">
            <wp:simplePos x="0" y="0"/>
            <wp:positionH relativeFrom="column">
              <wp:posOffset>35560</wp:posOffset>
            </wp:positionH>
            <wp:positionV relativeFrom="line">
              <wp:posOffset>121920</wp:posOffset>
            </wp:positionV>
            <wp:extent cx="1428750" cy="1428750"/>
            <wp:effectExtent l="0" t="0" r="0" b="0"/>
            <wp:wrapSquare wrapText="bothSides"/>
            <wp:docPr id="15" name="Рисунок 15" descr="https://events.kommersant.ru/ural/wp-content/uploads/sites/3/2022/07/krug_barashkin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vents.kommersant.ru/ural/wp-content/uploads/sites/3/2022/07/krug_barashkin-150x1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управления ЖКХ по управлению коммунальной инфраструктурой администрации Екатеринбурга </w:t>
      </w:r>
      <w:r w:rsidRPr="005B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Дмитрий </w:t>
      </w:r>
      <w:proofErr w:type="spellStart"/>
      <w:r w:rsidRPr="005B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Барашкин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рассказал, что мэрия попросила профильные компании обозначить проблематику и провести анализ </w:t>
      </w:r>
      <w:proofErr w:type="spell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санкционного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на </w:t>
      </w:r>
      <w:proofErr w:type="spell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компании. Как оказалось, энергетиков в большей степени  беспокоит увеличение стоимости материалов, риски снижения объемов работ, а также сложности, связанные с ремонтом и заменой котлов, автоматики, запорной арматуры.</w:t>
      </w:r>
    </w:p>
    <w:p w:rsidR="003B69D8" w:rsidRPr="005B78D4" w:rsidRDefault="006E1817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285750" distR="285750" simplePos="0" relativeHeight="251659264" behindDoc="0" locked="0" layoutInCell="1" allowOverlap="0" wp14:anchorId="5D46AD71" wp14:editId="7B78B239">
            <wp:simplePos x="0" y="0"/>
            <wp:positionH relativeFrom="column">
              <wp:posOffset>38100</wp:posOffset>
            </wp:positionH>
            <wp:positionV relativeFrom="line">
              <wp:posOffset>113665</wp:posOffset>
            </wp:positionV>
            <wp:extent cx="1428750" cy="1428750"/>
            <wp:effectExtent l="0" t="0" r="0" b="0"/>
            <wp:wrapSquare wrapText="bothSides"/>
            <wp:docPr id="14" name="Рисунок 14" descr="https://events.kommersant.ru/ural/wp-content/uploads/sites/3/2022/06/krug_borcov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vents.kommersant.ru/ural/wp-content/uploads/sites/3/2022/06/krug_borcov-150x1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9D8" w:rsidRPr="005B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заменить?</w:t>
      </w:r>
    </w:p>
    <w:p w:rsidR="003B69D8" w:rsidRPr="005B78D4" w:rsidRDefault="003B69D8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оказывается на практике, теплоэнергетические компании за десятилетия настолько привыкли к импортному оборудованию, что зачастую даже не знают о наличии российских аналогов или собственных разработок. К этому добавилось недоверие к отечественному производителю. Даже сейчас, когда такие компании, как </w:t>
      </w:r>
      <w:proofErr w:type="spell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Saacke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Oilon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Weishaupt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Riello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Viessmann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Bosch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ушли с рынка, заказчики все равно указывают в проектных решениях именно эти бренды.</w:t>
      </w:r>
    </w:p>
    <w:p w:rsidR="003B69D8" w:rsidRPr="005B78D4" w:rsidRDefault="003B69D8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части котельного и горелочного оборудования в России уже сложился свой внутренний рынок с практически стопроцентной локализацией. По словам </w:t>
      </w:r>
      <w:proofErr w:type="gram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</w:t>
      </w:r>
      <w:proofErr w:type="gram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ООО «Дорогобужкотломаш» </w:t>
      </w:r>
      <w:r w:rsidRPr="005B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Александра Борцова</w:t>
      </w: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компания провела масштабную модернизацию производственных мощностей и наладила выпуск отопительных котлов малой мощности, горелочных устройств с использованием российских комплектующих, а также совместно с отечественными производителями автоматики разработала собственные системы управления для котлов.</w:t>
      </w:r>
    </w:p>
    <w:p w:rsidR="003B69D8" w:rsidRPr="005B78D4" w:rsidRDefault="003B69D8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мероприятия обратили внимание, что уровень использования отопительного оборудования российского производства остается невысоким, а доля импорта колеблется от 50% до 95%, в зависимости от сегмента.</w:t>
      </w:r>
    </w:p>
    <w:p w:rsidR="003B69D8" w:rsidRPr="005B78D4" w:rsidRDefault="003B69D8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отрасли считают, чтобы развивать массовое производство отечественного теплогенерирующего оборудования, нужно, чтобы это оборудование закладывали в проекты и покупали теплоснабжающие организации, отказываясь от импортных решений.</w:t>
      </w:r>
    </w:p>
    <w:p w:rsidR="003B69D8" w:rsidRPr="005B78D4" w:rsidRDefault="003B69D8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рынка отдельно остановились на проблеме с кадрами, отрасли не хватает как молодых профильных специалистов, квалификацию которых в дальнейшем можно повышать в рамках предприятий, так и опытных профессионалов, количество которых явно недостаточно для замещения всех существующих вакансий.</w:t>
      </w:r>
    </w:p>
    <w:p w:rsidR="006E1817" w:rsidRDefault="006E1817" w:rsidP="005B78D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817" w:rsidRDefault="006E1817" w:rsidP="005B78D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9D8" w:rsidRPr="005B78D4" w:rsidRDefault="006E1817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95250" distB="95250" distL="285750" distR="285750" simplePos="0" relativeHeight="251660288" behindDoc="0" locked="0" layoutInCell="1" allowOverlap="0" wp14:anchorId="12F8C8DC" wp14:editId="6D3E52A5">
            <wp:simplePos x="0" y="0"/>
            <wp:positionH relativeFrom="column">
              <wp:posOffset>0</wp:posOffset>
            </wp:positionH>
            <wp:positionV relativeFrom="line">
              <wp:posOffset>99060</wp:posOffset>
            </wp:positionV>
            <wp:extent cx="1428750" cy="1428750"/>
            <wp:effectExtent l="0" t="0" r="0" b="0"/>
            <wp:wrapSquare wrapText="bothSides"/>
            <wp:docPr id="13" name="Рисунок 13" descr="https://events.kommersant.ru/ural/wp-content/uploads/sites/3/2022/07/krug_kondratev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vents.kommersant.ru/ural/wp-content/uploads/sites/3/2022/07/krug_kondratev-150x1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9D8" w:rsidRPr="005B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ПО, да не то</w:t>
      </w:r>
    </w:p>
    <w:p w:rsidR="003B69D8" w:rsidRPr="005B78D4" w:rsidRDefault="003B69D8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прочему, участники рынка отметили недостаток отечественных систем автоматики, причем, проблема стоит очень остро, так как компании уже не могут получить заказанное и оплаченное оборудование у ранее популярных зарубежных производителей. Генеральный директор АО «ИЦ “</w:t>
      </w:r>
      <w:proofErr w:type="spell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Уралтехэнерго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”» </w:t>
      </w:r>
      <w:r w:rsidRPr="005B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Кондратьев</w:t>
      </w: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привел в пример кейс одного из крупных промпредприятий, которое планировало запустить собственную ТЭЦ, но вынуждено было отложить ввод объекта, так как американская компания «</w:t>
      </w:r>
      <w:proofErr w:type="spell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Эмерсон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из-за санкций отказалась поставить уже купленный программно-технический комплекс.  </w:t>
      </w:r>
    </w:p>
    <w:p w:rsidR="003B69D8" w:rsidRPr="005B78D4" w:rsidRDefault="003B69D8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«К счастью, у этой истории будет счастливый конец. Мы предложили заказчику и генподрядчику замену ПТК фирмы “</w:t>
      </w:r>
      <w:proofErr w:type="spell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Эмерсон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на </w:t>
      </w:r>
      <w:proofErr w:type="gram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</w:t>
      </w:r>
      <w:proofErr w:type="gram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ПТК. Заказ уже размещен. В течение трех месяцев нами будет выполнено перепроектирование, примерно в такие же сроки в Чебоксарах в АО “ЭЛАРА” будет изготовлено оборудование. Специалистами нашей компании будет выполнено программирование, и начнутся пусконаладочные работы на ТЭЦ. Безусловно, эта ситуация несколько повлияет на сроки ввода, но в целом, по нынешним временам этот финал можно назвать счастливым»,— рассказал руководитель АО «ИЦ “</w:t>
      </w:r>
      <w:proofErr w:type="spellStart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Уралтехэнерго</w:t>
      </w:r>
      <w:proofErr w:type="spellEnd"/>
      <w:r w:rsidRP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t>”».</w:t>
      </w:r>
    </w:p>
    <w:p w:rsidR="005B78D4" w:rsidRPr="005B78D4" w:rsidRDefault="006E1817" w:rsidP="005B78D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444B7D0" wp14:editId="7B4C67AC">
            <wp:simplePos x="0" y="0"/>
            <wp:positionH relativeFrom="margin">
              <wp:posOffset>-4445</wp:posOffset>
            </wp:positionH>
            <wp:positionV relativeFrom="margin">
              <wp:posOffset>3832860</wp:posOffset>
            </wp:positionV>
            <wp:extent cx="2644140" cy="1760220"/>
            <wp:effectExtent l="0" t="0" r="3810" b="0"/>
            <wp:wrapSquare wrapText="bothSides"/>
            <wp:docPr id="19" name="Рисунок 19" descr="C:\Users\Director\Desktop\IMG_8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IMG_89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78D4" w:rsidRPr="005B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нас есть, что предложить ЖКХ и промышленности!</w:t>
      </w:r>
    </w:p>
    <w:p w:rsidR="00EE4F4B" w:rsidRDefault="003E24C5" w:rsidP="005B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Оживление в зале вызвало выступление генерального директора Группы компаний «ЭЛЕКОМ» </w:t>
      </w:r>
      <w:r w:rsidRPr="003E2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E2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Неплохов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E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которого были продемонстрированы образцы оборудова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приборов отечественного производства для ЖКХ и промышленности, характеристики которых не уступают, а иногда и превосходят характеристики зарубежных продуктов. Это средства автоматизации -  специализированные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свободнопрограммируемые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контроллеры ОВЕН, расходомеры жидких сред для промышленности ПИТЕРФЛОУ Т3 (новинка), интенсифицированные теплообменные аппараты ТТАИ. Было обращено внимание  участников мероприятия на наличие заслуживающей внимания продукции отечественных предприятий, а также на необходимость ориентации предприятий энергетики, ЖКХ и промышленности на применение этой продукции. Только тогда предприятия её производящие получат возможность за счет полученных средств развивать и улучшать нашу отечественную технику и технологии.</w:t>
      </w:r>
      <w:r w:rsidR="005B78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B69D8" w:rsidRPr="004D0D95" w:rsidRDefault="00EE4F4B" w:rsidP="005B78D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Подытоживая, можно сказать, что в связи с большим ф</w:t>
      </w:r>
      <w:r w:rsidR="003B69D8" w:rsidRPr="004D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изически</w:t>
      </w:r>
      <w:r w:rsidRPr="004D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B69D8" w:rsidRPr="004D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износ</w:t>
      </w:r>
      <w:r w:rsidRPr="004D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3B69D8" w:rsidRPr="004D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оборудования </w:t>
      </w:r>
      <w:r w:rsidRPr="004D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ЖКХ</w:t>
      </w:r>
      <w:r w:rsidR="003B69D8" w:rsidRPr="004D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увеличением </w:t>
      </w:r>
      <w:proofErr w:type="spellStart"/>
      <w:r w:rsidRPr="004D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санкционного</w:t>
      </w:r>
      <w:proofErr w:type="spellEnd"/>
      <w:r w:rsidRPr="004D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давления </w:t>
      </w:r>
      <w:r w:rsidR="003B69D8" w:rsidRPr="004D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формируется </w:t>
      </w:r>
      <w:r w:rsidRPr="004D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</w:t>
      </w:r>
      <w:r w:rsidR="003B69D8" w:rsidRPr="004D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спрос на качественн</w:t>
      </w:r>
      <w:r w:rsidR="00655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B69D8" w:rsidRPr="004D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конкурентоспособное и технологичное оборудование</w:t>
      </w:r>
      <w:r w:rsidRPr="004D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российского производства</w:t>
      </w:r>
      <w:r w:rsidR="003B69D8" w:rsidRPr="004D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3B69D8" w:rsidRPr="004D0D95" w:rsidSect="00A91094">
      <w:pgSz w:w="11906" w:h="16838" w:code="9"/>
      <w:pgMar w:top="567" w:right="85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1D3"/>
    <w:multiLevelType w:val="multilevel"/>
    <w:tmpl w:val="162A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4363C"/>
    <w:multiLevelType w:val="multilevel"/>
    <w:tmpl w:val="9054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C2D33"/>
    <w:multiLevelType w:val="multilevel"/>
    <w:tmpl w:val="9700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82941"/>
    <w:multiLevelType w:val="multilevel"/>
    <w:tmpl w:val="9C5A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82E13"/>
    <w:multiLevelType w:val="multilevel"/>
    <w:tmpl w:val="7FB0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07528"/>
    <w:multiLevelType w:val="multilevel"/>
    <w:tmpl w:val="A058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D8"/>
    <w:rsid w:val="003B69D8"/>
    <w:rsid w:val="003E24C5"/>
    <w:rsid w:val="004D0D95"/>
    <w:rsid w:val="005B78D4"/>
    <w:rsid w:val="00655CB2"/>
    <w:rsid w:val="006E1817"/>
    <w:rsid w:val="00A91094"/>
    <w:rsid w:val="00C9383E"/>
    <w:rsid w:val="00EE4F4B"/>
    <w:rsid w:val="00F81229"/>
    <w:rsid w:val="00FB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6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day">
    <w:name w:val="date__day"/>
    <w:basedOn w:val="a0"/>
    <w:rsid w:val="003B69D8"/>
  </w:style>
  <w:style w:type="character" w:customStyle="1" w:styleId="datemonth-text">
    <w:name w:val="date__month-text"/>
    <w:basedOn w:val="a0"/>
    <w:rsid w:val="003B69D8"/>
  </w:style>
  <w:style w:type="character" w:customStyle="1" w:styleId="dateyear">
    <w:name w:val="date__year"/>
    <w:basedOn w:val="a0"/>
    <w:rsid w:val="003B69D8"/>
  </w:style>
  <w:style w:type="character" w:customStyle="1" w:styleId="dateweek-day">
    <w:name w:val="date__week-day"/>
    <w:basedOn w:val="a0"/>
    <w:rsid w:val="003B69D8"/>
  </w:style>
  <w:style w:type="character" w:customStyle="1" w:styleId="tagtext">
    <w:name w:val="tag__text"/>
    <w:basedOn w:val="a0"/>
    <w:rsid w:val="003B69D8"/>
  </w:style>
  <w:style w:type="character" w:styleId="a3">
    <w:name w:val="Hyperlink"/>
    <w:basedOn w:val="a0"/>
    <w:uiPriority w:val="99"/>
    <w:semiHidden/>
    <w:unhideWhenUsed/>
    <w:rsid w:val="003B69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69D8"/>
    <w:rPr>
      <w:b/>
      <w:bCs/>
    </w:rPr>
  </w:style>
  <w:style w:type="character" w:customStyle="1" w:styleId="datemonth">
    <w:name w:val="date__month"/>
    <w:basedOn w:val="a0"/>
    <w:rsid w:val="003B69D8"/>
  </w:style>
  <w:style w:type="character" w:customStyle="1" w:styleId="personname">
    <w:name w:val="person__name"/>
    <w:basedOn w:val="a0"/>
    <w:rsid w:val="003B69D8"/>
  </w:style>
  <w:style w:type="paragraph" w:customStyle="1" w:styleId="personposition">
    <w:name w:val="person__position"/>
    <w:basedOn w:val="a"/>
    <w:rsid w:val="003B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contact-text">
    <w:name w:val="person__contact-text"/>
    <w:basedOn w:val="a0"/>
    <w:rsid w:val="003B69D8"/>
  </w:style>
  <w:style w:type="paragraph" w:styleId="a6">
    <w:name w:val="Balloon Text"/>
    <w:basedOn w:val="a"/>
    <w:link w:val="a7"/>
    <w:uiPriority w:val="99"/>
    <w:semiHidden/>
    <w:unhideWhenUsed/>
    <w:rsid w:val="003B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6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day">
    <w:name w:val="date__day"/>
    <w:basedOn w:val="a0"/>
    <w:rsid w:val="003B69D8"/>
  </w:style>
  <w:style w:type="character" w:customStyle="1" w:styleId="datemonth-text">
    <w:name w:val="date__month-text"/>
    <w:basedOn w:val="a0"/>
    <w:rsid w:val="003B69D8"/>
  </w:style>
  <w:style w:type="character" w:customStyle="1" w:styleId="dateyear">
    <w:name w:val="date__year"/>
    <w:basedOn w:val="a0"/>
    <w:rsid w:val="003B69D8"/>
  </w:style>
  <w:style w:type="character" w:customStyle="1" w:styleId="dateweek-day">
    <w:name w:val="date__week-day"/>
    <w:basedOn w:val="a0"/>
    <w:rsid w:val="003B69D8"/>
  </w:style>
  <w:style w:type="character" w:customStyle="1" w:styleId="tagtext">
    <w:name w:val="tag__text"/>
    <w:basedOn w:val="a0"/>
    <w:rsid w:val="003B69D8"/>
  </w:style>
  <w:style w:type="character" w:styleId="a3">
    <w:name w:val="Hyperlink"/>
    <w:basedOn w:val="a0"/>
    <w:uiPriority w:val="99"/>
    <w:semiHidden/>
    <w:unhideWhenUsed/>
    <w:rsid w:val="003B69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69D8"/>
    <w:rPr>
      <w:b/>
      <w:bCs/>
    </w:rPr>
  </w:style>
  <w:style w:type="character" w:customStyle="1" w:styleId="datemonth">
    <w:name w:val="date__month"/>
    <w:basedOn w:val="a0"/>
    <w:rsid w:val="003B69D8"/>
  </w:style>
  <w:style w:type="character" w:customStyle="1" w:styleId="personname">
    <w:name w:val="person__name"/>
    <w:basedOn w:val="a0"/>
    <w:rsid w:val="003B69D8"/>
  </w:style>
  <w:style w:type="paragraph" w:customStyle="1" w:styleId="personposition">
    <w:name w:val="person__position"/>
    <w:basedOn w:val="a"/>
    <w:rsid w:val="003B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contact-text">
    <w:name w:val="person__contact-text"/>
    <w:basedOn w:val="a0"/>
    <w:rsid w:val="003B69D8"/>
  </w:style>
  <w:style w:type="paragraph" w:styleId="a6">
    <w:name w:val="Balloon Text"/>
    <w:basedOn w:val="a"/>
    <w:link w:val="a7"/>
    <w:uiPriority w:val="99"/>
    <w:semiHidden/>
    <w:unhideWhenUsed/>
    <w:rsid w:val="003B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93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087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581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746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777191">
                                  <w:marLeft w:val="30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6" w:color="auto"/>
                                        <w:left w:val="single" w:sz="12" w:space="9" w:color="auto"/>
                                        <w:bottom w:val="single" w:sz="12" w:space="6" w:color="auto"/>
                                        <w:right w:val="single" w:sz="12" w:space="9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0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17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674">
                          <w:marLeft w:val="0"/>
                          <w:marRight w:val="-480"/>
                          <w:marTop w:val="81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1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1992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79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5877">
                          <w:marLeft w:val="0"/>
                          <w:marRight w:val="1275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82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80796">
                                  <w:marLeft w:val="0"/>
                                  <w:marRight w:val="0"/>
                                  <w:marTop w:val="51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1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9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03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1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67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25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4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22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9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50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3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8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0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4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2103">
                  <w:marLeft w:val="720"/>
                  <w:marRight w:val="72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12064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076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462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5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4336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067717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823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2858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8154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5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Неплохов</dc:creator>
  <cp:lastModifiedBy>Алексей Неплохов</cp:lastModifiedBy>
  <cp:revision>5</cp:revision>
  <dcterms:created xsi:type="dcterms:W3CDTF">2022-07-20T09:58:00Z</dcterms:created>
  <dcterms:modified xsi:type="dcterms:W3CDTF">2022-07-21T05:51:00Z</dcterms:modified>
</cp:coreProperties>
</file>