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B" w:rsidRDefault="002A7A4B" w:rsidP="00721CCC">
      <w:pPr>
        <w:rPr>
          <w:sz w:val="28"/>
          <w:szCs w:val="28"/>
        </w:rPr>
      </w:pPr>
    </w:p>
    <w:tbl>
      <w:tblPr>
        <w:tblW w:w="5337" w:type="pct"/>
        <w:tblInd w:w="-318" w:type="dxa"/>
        <w:tblLook w:val="01E0"/>
      </w:tblPr>
      <w:tblGrid>
        <w:gridCol w:w="6380"/>
        <w:gridCol w:w="3686"/>
      </w:tblGrid>
      <w:tr w:rsidR="002A7A4B" w:rsidRPr="00783140" w:rsidTr="00E47004">
        <w:trPr>
          <w:trHeight w:val="3448"/>
        </w:trPr>
        <w:tc>
          <w:tcPr>
            <w:tcW w:w="3169" w:type="pct"/>
          </w:tcPr>
          <w:p w:rsidR="002A7A4B" w:rsidRPr="0051084E" w:rsidRDefault="002A7A4B" w:rsidP="00E47004">
            <w:pPr>
              <w:jc w:val="both"/>
            </w:pPr>
          </w:p>
          <w:p w:rsidR="002A7A4B" w:rsidRPr="0051084E" w:rsidRDefault="002A7A4B" w:rsidP="00E47004">
            <w:r w:rsidRPr="004A740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spp_01" style="width:249.75pt;height:62.25pt;visibility:visible">
                  <v:imagedata r:id="rId7" o:title=""/>
                </v:shape>
              </w:pict>
            </w:r>
          </w:p>
          <w:p w:rsidR="002A7A4B" w:rsidRDefault="002A7A4B" w:rsidP="00E47004">
            <w:pPr>
              <w:pStyle w:val="Heading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2A7A4B" w:rsidRDefault="002A7A4B" w:rsidP="00E47004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2A7A4B" w:rsidRPr="00AB359D" w:rsidRDefault="002A7A4B" w:rsidP="00E4700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7A4B" w:rsidRDefault="002A7A4B" w:rsidP="00E4700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>. Екатеринбург, ул. Б. Ельцина,1</w:t>
            </w:r>
          </w:p>
          <w:p w:rsidR="002A7A4B" w:rsidRDefault="002A7A4B" w:rsidP="00E47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>.</w:t>
            </w:r>
            <w:r w:rsidRPr="00245CFE">
              <w:rPr>
                <w:sz w:val="20"/>
                <w:szCs w:val="20"/>
                <w:lang w:val="de-DE"/>
              </w:rPr>
              <w:t xml:space="preserve"> 8(343)</w:t>
            </w:r>
            <w:r>
              <w:rPr>
                <w:sz w:val="20"/>
                <w:szCs w:val="20"/>
              </w:rPr>
              <w:t>359-08-49</w:t>
            </w:r>
          </w:p>
          <w:p w:rsidR="002A7A4B" w:rsidRDefault="002A7A4B" w:rsidP="00E4700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e-mail: </w:t>
            </w:r>
            <w:hyperlink r:id="rId8" w:history="1">
              <w:r w:rsidRPr="001156D2">
                <w:rPr>
                  <w:rStyle w:val="Hyperlink"/>
                  <w:sz w:val="20"/>
                  <w:szCs w:val="20"/>
                  <w:lang w:val="de-DE"/>
                </w:rPr>
                <w:t>shilov</w:t>
              </w:r>
              <w:r w:rsidRPr="00783140">
                <w:rPr>
                  <w:rStyle w:val="Hyperlink"/>
                  <w:sz w:val="20"/>
                  <w:szCs w:val="20"/>
                </w:rPr>
                <w:t>-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va</w:t>
              </w:r>
              <w:r w:rsidRPr="001156D2">
                <w:rPr>
                  <w:rStyle w:val="Hyperlink"/>
                  <w:sz w:val="20"/>
                  <w:szCs w:val="20"/>
                  <w:lang w:val="de-DE"/>
                </w:rPr>
                <w:t>@mrsk-ural.ru</w:t>
              </w:r>
            </w:hyperlink>
          </w:p>
          <w:p w:rsidR="002A7A4B" w:rsidRPr="008C1BDA" w:rsidRDefault="002A7A4B" w:rsidP="00E47004">
            <w:pPr>
              <w:jc w:val="both"/>
              <w:rPr>
                <w:rFonts w:ascii="Tahoma" w:hAnsi="Tahoma" w:cs="Tahoma"/>
                <w:sz w:val="17"/>
                <w:szCs w:val="17"/>
                <w:lang w:val="de-DE"/>
              </w:rPr>
            </w:pPr>
          </w:p>
          <w:p w:rsidR="002A7A4B" w:rsidRPr="008C1BDA" w:rsidRDefault="002A7A4B" w:rsidP="00E4700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1831" w:type="pct"/>
          </w:tcPr>
          <w:p w:rsidR="002A7A4B" w:rsidRPr="008C1BDA" w:rsidRDefault="002A7A4B" w:rsidP="00E47004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2A7A4B" w:rsidRPr="008C1BDA" w:rsidRDefault="002A7A4B" w:rsidP="00E47004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2A7A4B" w:rsidRPr="008C1BDA" w:rsidRDefault="002A7A4B" w:rsidP="00E47004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2A7A4B" w:rsidRPr="00783140" w:rsidRDefault="002A7A4B" w:rsidP="00E47004">
            <w:pPr>
              <w:ind w:firstLine="709"/>
              <w:rPr>
                <w:sz w:val="28"/>
                <w:szCs w:val="28"/>
              </w:rPr>
            </w:pPr>
          </w:p>
          <w:p w:rsidR="002A7A4B" w:rsidRPr="00783140" w:rsidRDefault="002A7A4B" w:rsidP="00E47004">
            <w:pPr>
              <w:ind w:firstLine="709"/>
              <w:rPr>
                <w:sz w:val="28"/>
                <w:szCs w:val="28"/>
              </w:rPr>
            </w:pPr>
          </w:p>
          <w:p w:rsidR="002A7A4B" w:rsidRPr="00783140" w:rsidRDefault="002A7A4B" w:rsidP="00E47004">
            <w:pPr>
              <w:ind w:firstLine="709"/>
              <w:rPr>
                <w:sz w:val="28"/>
                <w:szCs w:val="28"/>
              </w:rPr>
            </w:pPr>
          </w:p>
          <w:p w:rsidR="002A7A4B" w:rsidRPr="00783140" w:rsidRDefault="002A7A4B" w:rsidP="00E47004">
            <w:pPr>
              <w:ind w:firstLine="709"/>
              <w:rPr>
                <w:sz w:val="28"/>
                <w:szCs w:val="28"/>
              </w:rPr>
            </w:pPr>
          </w:p>
          <w:p w:rsidR="002A7A4B" w:rsidRPr="00783140" w:rsidRDefault="002A7A4B" w:rsidP="00E47004">
            <w:pPr>
              <w:ind w:firstLine="709"/>
              <w:rPr>
                <w:sz w:val="28"/>
                <w:szCs w:val="28"/>
              </w:rPr>
            </w:pPr>
          </w:p>
          <w:p w:rsidR="002A7A4B" w:rsidRPr="009B16DF" w:rsidRDefault="002A7A4B" w:rsidP="00E47004">
            <w:pPr>
              <w:ind w:firstLine="459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A7A4B" w:rsidRDefault="002A7A4B" w:rsidP="00721CCC">
      <w:pPr>
        <w:jc w:val="center"/>
      </w:pPr>
      <w:r w:rsidRPr="00047257">
        <w:t>РЕШЕНИЕ</w:t>
      </w:r>
    </w:p>
    <w:p w:rsidR="002A7A4B" w:rsidRPr="00A74CF5" w:rsidRDefault="002A7A4B" w:rsidP="00721CCC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2A7A4B" w:rsidRPr="00201941" w:rsidRDefault="002A7A4B" w:rsidP="00721CCC">
      <w:pPr>
        <w:tabs>
          <w:tab w:val="left" w:pos="1095"/>
        </w:tabs>
        <w:jc w:val="center"/>
        <w:rPr>
          <w:b/>
        </w:rPr>
      </w:pPr>
      <w:r>
        <w:rPr>
          <w:b/>
        </w:rPr>
        <w:t>Открытого онлайн</w:t>
      </w:r>
      <w:r w:rsidRPr="00201941">
        <w:rPr>
          <w:b/>
        </w:rPr>
        <w:t xml:space="preserve"> заседания Комитета по энергетике СОСПП </w:t>
      </w:r>
    </w:p>
    <w:p w:rsidR="002A7A4B" w:rsidRDefault="002A7A4B" w:rsidP="00721CCC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 г. Екатеринбург  28.01.2021г..</w:t>
      </w:r>
    </w:p>
    <w:p w:rsidR="002A7A4B" w:rsidRPr="00B566D1" w:rsidRDefault="002A7A4B" w:rsidP="00721CCC">
      <w:pPr>
        <w:rPr>
          <w:b/>
          <w:sz w:val="16"/>
          <w:szCs w:val="16"/>
        </w:rPr>
      </w:pPr>
    </w:p>
    <w:p w:rsidR="002A7A4B" w:rsidRDefault="002A7A4B" w:rsidP="00B86C3F">
      <w:pPr>
        <w:jc w:val="center"/>
        <w:rPr>
          <w:b/>
          <w:i/>
          <w:color w:val="0000FF"/>
        </w:rPr>
      </w:pPr>
      <w:r w:rsidRPr="00047257">
        <w:rPr>
          <w:i/>
          <w:color w:val="000000"/>
        </w:rPr>
        <w:t>Тема:</w:t>
      </w:r>
      <w:r>
        <w:rPr>
          <w:b/>
          <w:i/>
          <w:color w:val="0000FF"/>
        </w:rPr>
        <w:t xml:space="preserve"> Итоги работы Комитета в 2020</w:t>
      </w:r>
      <w:r w:rsidRPr="00265F7F">
        <w:rPr>
          <w:b/>
          <w:i/>
          <w:color w:val="0000FF"/>
        </w:rPr>
        <w:t>г.</w:t>
      </w:r>
      <w:r>
        <w:rPr>
          <w:b/>
          <w:i/>
          <w:color w:val="0000FF"/>
        </w:rPr>
        <w:t>, задачи на 2021</w:t>
      </w:r>
      <w:r w:rsidRPr="00265F7F">
        <w:rPr>
          <w:b/>
          <w:i/>
          <w:color w:val="0000FF"/>
        </w:rPr>
        <w:t>г.</w:t>
      </w:r>
      <w:r w:rsidRPr="00265F7F">
        <w:rPr>
          <w:b/>
          <w:color w:val="0000FF"/>
        </w:rPr>
        <w:t xml:space="preserve"> </w:t>
      </w:r>
      <w:r>
        <w:rPr>
          <w:b/>
          <w:i/>
          <w:color w:val="0000FF"/>
        </w:rPr>
        <w:t xml:space="preserve"> </w:t>
      </w:r>
    </w:p>
    <w:p w:rsidR="002A7A4B" w:rsidRPr="007C41E2" w:rsidRDefault="002A7A4B" w:rsidP="00B86C3F">
      <w:pPr>
        <w:jc w:val="center"/>
        <w:rPr>
          <w:b/>
          <w:i/>
          <w:color w:val="0000FF"/>
          <w:sz w:val="28"/>
          <w:szCs w:val="28"/>
        </w:rPr>
      </w:pPr>
      <w:r w:rsidRPr="007C41E2">
        <w:rPr>
          <w:rStyle w:val="extended-textshort"/>
          <w:b/>
          <w:bCs/>
          <w:i/>
          <w:color w:val="0000FF"/>
        </w:rPr>
        <w:t>Рынок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систем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накопления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электроэнергии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в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России</w:t>
      </w:r>
      <w:r>
        <w:rPr>
          <w:rStyle w:val="extended-textshort"/>
          <w:b/>
          <w:bCs/>
          <w:i/>
          <w:color w:val="0000FF"/>
        </w:rPr>
        <w:t xml:space="preserve">: драйверы </w:t>
      </w:r>
      <w:r w:rsidRPr="007C41E2">
        <w:rPr>
          <w:rStyle w:val="extended-textshort"/>
          <w:b/>
          <w:bCs/>
          <w:i/>
          <w:color w:val="0000FF"/>
        </w:rPr>
        <w:t xml:space="preserve"> и потенциальные возможности</w:t>
      </w:r>
      <w:r>
        <w:rPr>
          <w:rStyle w:val="extended-textshort"/>
          <w:b/>
          <w:bCs/>
          <w:i/>
          <w:color w:val="0000FF"/>
        </w:rPr>
        <w:t xml:space="preserve"> роста</w:t>
      </w:r>
    </w:p>
    <w:p w:rsidR="002A7A4B" w:rsidRPr="003259B9" w:rsidRDefault="002A7A4B" w:rsidP="00A66760">
      <w:pPr>
        <w:pStyle w:val="PlainText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A7A4B" w:rsidRPr="00A509FF" w:rsidRDefault="002A7A4B" w:rsidP="00A509FF">
      <w:pPr>
        <w:jc w:val="both"/>
        <w:rPr>
          <w:color w:val="212121"/>
          <w:shd w:val="clear" w:color="auto" w:fill="FFFFFF"/>
        </w:rPr>
      </w:pPr>
      <w:r>
        <w:rPr>
          <w:i/>
        </w:rPr>
        <w:t xml:space="preserve">        </w:t>
      </w:r>
      <w:r w:rsidRPr="00A0106F">
        <w:rPr>
          <w:i/>
        </w:rPr>
        <w:t xml:space="preserve">По   рассмотренным    вопросам: Открытие работы  Комитета. Вступительное  </w:t>
      </w:r>
      <w:r w:rsidRPr="00A509FF">
        <w:rPr>
          <w:i/>
        </w:rPr>
        <w:t xml:space="preserve">слово. Краткие итоги  2020г. Приветственное слово. Рассмотрение  и утверждение  отчета  работы Комитета по  энергетике за 2020год. О задачах Комитета на 2021г. </w:t>
      </w:r>
      <w:r w:rsidRPr="00A509FF">
        <w:rPr>
          <w:i/>
          <w:color w:val="212121"/>
          <w:shd w:val="clear" w:color="auto" w:fill="FFFFFF"/>
        </w:rPr>
        <w:t xml:space="preserve">Уровень цифровизации отраслей. Цифровая трансформация - основные вызовы.  Об утверждении регулируемых тарифов на 2021 год. </w:t>
      </w:r>
      <w:r w:rsidRPr="00A509FF">
        <w:rPr>
          <w:i/>
          <w:color w:val="000000"/>
        </w:rPr>
        <w:t>Стратегии развития и технологии на рынке систем накопления и хранения энергии(работа данного блока презентаций ведется в формате форума с возможностью обмена мнениями и вопросами).</w:t>
      </w:r>
      <w:r w:rsidRPr="00A509FF">
        <w:rPr>
          <w:i/>
        </w:rPr>
        <w:t xml:space="preserve"> Изменения под влиянием событий 2020 года. </w:t>
      </w:r>
      <w:r w:rsidRPr="00A509FF">
        <w:rPr>
          <w:i/>
          <w:color w:val="000000"/>
          <w:shd w:val="clear" w:color="auto" w:fill="FFFFFF"/>
        </w:rPr>
        <w:t xml:space="preserve">Решения группы компаний Азимут на основе литий-ионных аккумуляторных батарей в энергетике и промышленности. </w:t>
      </w:r>
      <w:r w:rsidRPr="00A509FF">
        <w:rPr>
          <w:i/>
          <w:color w:val="212121"/>
          <w:shd w:val="clear" w:color="auto" w:fill="FFFFFF"/>
        </w:rPr>
        <w:t xml:space="preserve">Глобальное потепление – миф или реальность, или зачем нам возобновляемая энергетика. </w:t>
      </w:r>
      <w:r w:rsidRPr="00A509FF">
        <w:rPr>
          <w:i/>
          <w:color w:val="000000"/>
        </w:rPr>
        <w:t xml:space="preserve">Экономика при использовании систем накопления  энергии на литий – ионных аккумуляторах.  Об опыте внедрения систем СНЭ и их эксплуатации. </w:t>
      </w:r>
      <w:r w:rsidRPr="00A509FF">
        <w:rPr>
          <w:i/>
          <w:color w:val="212121"/>
          <w:shd w:val="clear" w:color="auto" w:fill="FFFFFF"/>
        </w:rPr>
        <w:t>Разработка системы накопления электрической энергии для решения сетевых задач и задач распределенной генерации.</w:t>
      </w:r>
      <w:r w:rsidRPr="00A509FF">
        <w:rPr>
          <w:i/>
        </w:rPr>
        <w:t xml:space="preserve"> Прием в члены Комитета. Награждение участников заседаний Комитета по итогам работы в 2020г.  Подведение итогов совещания.  Решение Комитета. Разное.</w:t>
      </w:r>
      <w:r w:rsidRPr="00A0106F">
        <w:rPr>
          <w:i/>
        </w:rPr>
        <w:t xml:space="preserve"> </w:t>
      </w:r>
    </w:p>
    <w:p w:rsidR="002A7A4B" w:rsidRPr="00A0106F" w:rsidRDefault="002A7A4B" w:rsidP="00721CCC">
      <w:pPr>
        <w:pStyle w:val="BodyText"/>
        <w:spacing w:after="0"/>
        <w:ind w:firstLine="567"/>
        <w:jc w:val="both"/>
        <w:rPr>
          <w:color w:val="000000"/>
        </w:rPr>
      </w:pPr>
      <w:r>
        <w:t>Время проведения заседания: 28 января 2021</w:t>
      </w:r>
      <w:r w:rsidRPr="00A0106F">
        <w:t xml:space="preserve"> г., начало работы Комитета - 10:30, начало регистрации – 9:00. Место проведения:  г. Екатеринбург, </w:t>
      </w:r>
      <w:r w:rsidRPr="00A0106F">
        <w:rPr>
          <w:bCs/>
        </w:rPr>
        <w:t>ул.</w:t>
      </w:r>
      <w:r w:rsidRPr="00A0106F">
        <w:rPr>
          <w:color w:val="000000"/>
        </w:rPr>
        <w:t xml:space="preserve"> Пушкина, 6,  зал  заседаний СОСПП, этаж 2. </w:t>
      </w:r>
    </w:p>
    <w:p w:rsidR="002A7A4B" w:rsidRPr="00A0106F" w:rsidRDefault="002A7A4B" w:rsidP="00721CCC">
      <w:pPr>
        <w:pStyle w:val="BodyText"/>
        <w:spacing w:after="0"/>
        <w:ind w:firstLine="567"/>
        <w:jc w:val="both"/>
      </w:pPr>
      <w:r w:rsidRPr="00A0106F">
        <w:t>Мероприятие проводится  в соответствии с поступившими предложения</w:t>
      </w:r>
      <w:r>
        <w:t>ми и планом работы Комитета 2021</w:t>
      </w:r>
      <w:r w:rsidRPr="00A0106F">
        <w:t xml:space="preserve"> года.</w:t>
      </w:r>
    </w:p>
    <w:p w:rsidR="002A7A4B" w:rsidRPr="00A0106F" w:rsidRDefault="002A7A4B" w:rsidP="00721CCC">
      <w:pPr>
        <w:ind w:firstLine="567"/>
        <w:jc w:val="both"/>
        <w:rPr>
          <w:color w:val="212121"/>
        </w:rPr>
      </w:pPr>
      <w:r>
        <w:t>Комитет в 2020</w:t>
      </w:r>
      <w:r w:rsidRPr="00A0106F">
        <w:t xml:space="preserve"> году </w:t>
      </w:r>
      <w:r>
        <w:t xml:space="preserve"> проводил заседания</w:t>
      </w:r>
      <w:r w:rsidRPr="00A0106F">
        <w:t xml:space="preserve"> в</w:t>
      </w:r>
      <w:r>
        <w:t xml:space="preserve"> основном  в</w:t>
      </w:r>
      <w:r w:rsidRPr="00A0106F">
        <w:t xml:space="preserve"> онлайн-режиме  с рассмотрением  вопросов  энергоснабжения,  энергоэффективности, автоматизации, цифровизации;</w:t>
      </w:r>
      <w:r>
        <w:t xml:space="preserve"> систе накопления энергии,</w:t>
      </w:r>
      <w:r w:rsidRPr="00A0106F">
        <w:t xml:space="preserve"> применения  новых  технологий в различных отраслях промышленности; внедрения систем учета и управления; подготовки кадров; импортозамещения, экологии;  нормативно-правовых актов; экономики, кооперации, инвестирования; организации  производственных  процессов, позволяющих  подробней  знакомиться  с оборудованием и опытом  работы  ведущих  предприятий, а также учебных заведений  региона, УрФО, страны. </w:t>
      </w:r>
    </w:p>
    <w:p w:rsidR="002A7A4B" w:rsidRPr="00A0106F" w:rsidRDefault="002A7A4B" w:rsidP="00721CCC">
      <w:pPr>
        <w:ind w:firstLine="567"/>
        <w:jc w:val="both"/>
      </w:pPr>
      <w:r w:rsidRPr="00A0106F">
        <w:rPr>
          <w:color w:val="212121"/>
        </w:rPr>
        <w:t>Значительное внимание Комитетом уделяется вопросам импортозамещения, поскольку это направление напрямую связано с безопасностью страны.</w:t>
      </w:r>
      <w:r w:rsidRPr="00A0106F">
        <w:rPr>
          <w:i/>
          <w:color w:val="212121"/>
        </w:rPr>
        <w:t xml:space="preserve"> </w:t>
      </w:r>
      <w:r w:rsidRPr="00A0106F">
        <w:t xml:space="preserve">  В своей работе Комитет руководствуется действующей нормативно-правовой базой РФ и региона. </w:t>
      </w:r>
    </w:p>
    <w:p w:rsidR="002A7A4B" w:rsidRDefault="002A7A4B" w:rsidP="00721CCC">
      <w:pPr>
        <w:ind w:firstLine="567"/>
        <w:jc w:val="both"/>
      </w:pPr>
    </w:p>
    <w:p w:rsidR="002A7A4B" w:rsidRDefault="002A7A4B" w:rsidP="00721CCC">
      <w:pPr>
        <w:ind w:firstLine="567"/>
        <w:jc w:val="both"/>
      </w:pPr>
    </w:p>
    <w:p w:rsidR="002A7A4B" w:rsidRDefault="002A7A4B" w:rsidP="00721CCC">
      <w:pPr>
        <w:ind w:firstLine="567"/>
        <w:jc w:val="both"/>
      </w:pPr>
    </w:p>
    <w:p w:rsidR="002A7A4B" w:rsidRPr="00A0106F" w:rsidRDefault="002A7A4B" w:rsidP="00721CCC">
      <w:pPr>
        <w:ind w:firstLine="567"/>
        <w:jc w:val="both"/>
        <w:rPr>
          <w:color w:val="000000"/>
        </w:rPr>
      </w:pPr>
      <w:r w:rsidRPr="00A0106F">
        <w:t xml:space="preserve">Реальное повышение  эффективности  экономики  региона от внедрения мероприятий по энергоэффективности, цифровизации, новых технологий и оборудования, подготовки кадров, развитие научного и творческого потенциала – является главной задачей  Правительства, промышленников и жителей области. Оказание помощи в  продвижении и внедрении инновационных  технологий и материалов; разработках нового  оборудования; решении вопросов импортозамещения, импортонезависимости; повышении надежности и устойчивости работы объектов; подготовки  кадров; кооперации; решении экологических вопросов в различных отраслях экономики; в ознакомлении и эффективном исполнении требований законодательства предприятиям  всех форм собственности региона, в т.ч. в коммунальной  и  социальной  сферах,  являются одной из главных задач  работы  Комитета  по энергетике. </w:t>
      </w:r>
      <w:r w:rsidRPr="00A0106F">
        <w:rPr>
          <w:color w:val="000000"/>
        </w:rPr>
        <w:t xml:space="preserve">   </w:t>
      </w:r>
    </w:p>
    <w:p w:rsidR="002A7A4B" w:rsidRPr="00A0106F" w:rsidRDefault="002A7A4B" w:rsidP="00721CCC">
      <w:pPr>
        <w:ind w:firstLine="567"/>
        <w:jc w:val="both"/>
      </w:pPr>
      <w:r w:rsidRPr="00A0106F">
        <w:t>Необходимо отметить, что решение вопросов надежности и полноты обеспечения качественными энергетическими ресурсами регионов, решение вопросов экологии и других, перечисленных выше, влияет не только на качество развития регионов, инвестиционную привлекательность, но и на комфортность проживания и качество жизни населения.  Данное заседание Комитета посвящено</w:t>
      </w:r>
      <w:r>
        <w:t xml:space="preserve"> итогам работы Комитета в ушедшем году и краткому изложению плана работ в 2021году,</w:t>
      </w:r>
      <w:r w:rsidRPr="00A0106F">
        <w:t xml:space="preserve"> ознакомлению с опытом работы регионов РФ по повышению надежности, энергоэффективности, организации эффективного взаимодействия бизнеса, органов  власти, науки и образования в вопросах экономически обоснованной устойчивой  работы объектов.</w:t>
      </w:r>
    </w:p>
    <w:p w:rsidR="002A7A4B" w:rsidRPr="006A0DCA" w:rsidRDefault="002A7A4B" w:rsidP="00721CCC">
      <w:pPr>
        <w:ind w:firstLine="567"/>
        <w:jc w:val="both"/>
        <w:rPr>
          <w:b/>
        </w:rPr>
      </w:pPr>
      <w:r w:rsidRPr="003259B9">
        <w:t xml:space="preserve">Заслушав  и  обсудив  доклады,  предложения  участников совещания, Комитет  </w:t>
      </w:r>
      <w:r w:rsidRPr="003259B9">
        <w:rPr>
          <w:b/>
        </w:rPr>
        <w:t>решил:</w:t>
      </w:r>
    </w:p>
    <w:p w:rsidR="002A7A4B" w:rsidRPr="006A0DCA" w:rsidRDefault="002A7A4B" w:rsidP="006A0DCA">
      <w:pPr>
        <w:jc w:val="both"/>
        <w:rPr>
          <w:b/>
        </w:rPr>
      </w:pPr>
      <w:r w:rsidRPr="006A0DCA">
        <w:rPr>
          <w:b/>
        </w:rPr>
        <w:t xml:space="preserve">      </w:t>
      </w:r>
    </w:p>
    <w:p w:rsidR="002A7A4B" w:rsidRDefault="002A7A4B" w:rsidP="006A0DCA">
      <w:pPr>
        <w:jc w:val="both"/>
      </w:pPr>
      <w:r w:rsidRPr="006A0DCA">
        <w:rPr>
          <w:b/>
        </w:rPr>
        <w:t xml:space="preserve">      1.</w:t>
      </w:r>
      <w:r>
        <w:t xml:space="preserve">    </w:t>
      </w:r>
      <w:r w:rsidRPr="009C4E54">
        <w:rPr>
          <w:b/>
        </w:rPr>
        <w:t>Одобрить</w:t>
      </w:r>
      <w:r>
        <w:t xml:space="preserve"> деятельность Комитета по энергетике СОСПП в 20</w:t>
      </w:r>
      <w:r w:rsidRPr="006A0DCA">
        <w:t>20</w:t>
      </w:r>
      <w:r>
        <w:t>г.</w:t>
      </w:r>
    </w:p>
    <w:p w:rsidR="002A7A4B" w:rsidRPr="006C7EDA" w:rsidRDefault="002A7A4B" w:rsidP="006A0DCA">
      <w:pPr>
        <w:ind w:left="240"/>
        <w:jc w:val="both"/>
        <w:rPr>
          <w:sz w:val="16"/>
          <w:szCs w:val="16"/>
        </w:rPr>
      </w:pPr>
    </w:p>
    <w:p w:rsidR="002A7A4B" w:rsidRPr="006A0DCA" w:rsidRDefault="002A7A4B" w:rsidP="006A0DCA">
      <w:pPr>
        <w:pStyle w:val="ListParagraph"/>
        <w:ind w:left="0"/>
        <w:jc w:val="both"/>
      </w:pPr>
      <w:r w:rsidRPr="006A0DCA">
        <w:rPr>
          <w:b/>
        </w:rPr>
        <w:t xml:space="preserve">      2.</w:t>
      </w:r>
      <w:r>
        <w:t xml:space="preserve">   </w:t>
      </w:r>
      <w:r w:rsidRPr="009C4E54">
        <w:rPr>
          <w:b/>
        </w:rPr>
        <w:t xml:space="preserve"> Утвердить</w:t>
      </w:r>
      <w:r>
        <w:t xml:space="preserve"> план работы Комитета (места проведения) по энергетике на 2020</w:t>
      </w:r>
      <w:r w:rsidRPr="006A0DCA">
        <w:t>1</w:t>
      </w:r>
      <w:r>
        <w:t>г.</w:t>
      </w:r>
    </w:p>
    <w:p w:rsidR="002A7A4B" w:rsidRPr="006A0DCA" w:rsidRDefault="002A7A4B" w:rsidP="006A0D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color w:val="000000"/>
        </w:rPr>
        <w:t>Подтвердить и д</w:t>
      </w:r>
      <w:r w:rsidRPr="006A0DCA">
        <w:rPr>
          <w:b/>
          <w:color w:val="000000"/>
        </w:rPr>
        <w:t>овести</w:t>
      </w:r>
      <w:r w:rsidRPr="006A0DCA">
        <w:rPr>
          <w:color w:val="000000"/>
        </w:rPr>
        <w:t xml:space="preserve"> </w:t>
      </w:r>
      <w:r>
        <w:rPr>
          <w:color w:val="000000"/>
        </w:rPr>
        <w:t xml:space="preserve">повторно </w:t>
      </w:r>
      <w:r w:rsidRPr="006A0DCA">
        <w:rPr>
          <w:color w:val="000000"/>
        </w:rPr>
        <w:t>до сведения муниципальных образований Свердловской области информацию о начале работы Экспертного совета на базе Комитета по энергетике СОСПП</w:t>
      </w:r>
      <w:r>
        <w:rPr>
          <w:color w:val="000000"/>
        </w:rPr>
        <w:t xml:space="preserve"> с учетом и рассмотрением проблем и предложений МО  СО. Р</w:t>
      </w:r>
      <w:r w:rsidRPr="006A0DCA">
        <w:rPr>
          <w:color w:val="000000"/>
        </w:rPr>
        <w:t xml:space="preserve">ешение о </w:t>
      </w:r>
      <w:r>
        <w:rPr>
          <w:color w:val="000000"/>
        </w:rPr>
        <w:t xml:space="preserve">выполнении Комитетом данной Функции </w:t>
      </w:r>
      <w:r w:rsidRPr="006A0DCA">
        <w:rPr>
          <w:color w:val="000000"/>
        </w:rPr>
        <w:t xml:space="preserve">было принято 27.10.2020 на совещании </w:t>
      </w:r>
      <w:r>
        <w:t>у заместителя министра инвестиций и развития Свердловской области Хлыбовой Е.А. по вопросу реализации мероприятий в рамках программы Энерджинет. Экспертному Совету КЭ СОСПП было поручено проводить экспертизу проектов, поступающих в Министерство инвестиций и развития Свердловской области, с целью определения наиболее целесообразных для реализации.</w:t>
      </w:r>
    </w:p>
    <w:p w:rsidR="002A7A4B" w:rsidRPr="0053039C" w:rsidRDefault="002A7A4B" w:rsidP="007B2B66">
      <w:pPr>
        <w:pStyle w:val="ListParagraph"/>
        <w:numPr>
          <w:ilvl w:val="0"/>
          <w:numId w:val="2"/>
        </w:numPr>
        <w:jc w:val="both"/>
        <w:rPr>
          <w:b/>
        </w:rPr>
      </w:pPr>
      <w:r w:rsidRPr="007B2B66">
        <w:rPr>
          <w:b/>
          <w:color w:val="000000"/>
        </w:rPr>
        <w:t>Признать</w:t>
      </w:r>
      <w:r w:rsidRPr="007B2B66">
        <w:rPr>
          <w:color w:val="000000"/>
        </w:rPr>
        <w:t xml:space="preserve"> опыт применения теплообменных аппаратов ТТАИ на Гурзуфской котельной удачным. Продолжить отслеживание показателей функционирования подогревателей, а также накопление опыта эксплуатации и ремонта этих аппаратов.</w:t>
      </w:r>
    </w:p>
    <w:p w:rsidR="002A7A4B" w:rsidRPr="00A91EE9" w:rsidRDefault="002A7A4B" w:rsidP="007B2B6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color w:val="000000"/>
        </w:rPr>
        <w:t xml:space="preserve">Принять </w:t>
      </w:r>
      <w:r>
        <w:rPr>
          <w:color w:val="000000"/>
        </w:rPr>
        <w:t>информацию РЭК Свердловской области к сведению</w:t>
      </w:r>
    </w:p>
    <w:p w:rsidR="002A7A4B" w:rsidRDefault="002A7A4B" w:rsidP="00A91EE9">
      <w:pPr>
        <w:numPr>
          <w:ilvl w:val="0"/>
          <w:numId w:val="2"/>
        </w:numPr>
        <w:shd w:val="clear" w:color="auto" w:fill="FFFFFF"/>
        <w:jc w:val="both"/>
        <w:rPr>
          <w:color w:val="212121"/>
        </w:rPr>
      </w:pPr>
      <w:r w:rsidRPr="00331F26">
        <w:rPr>
          <w:b/>
          <w:color w:val="212121"/>
        </w:rPr>
        <w:t>Подтвердить</w:t>
      </w:r>
      <w:r w:rsidRPr="00331F26">
        <w:rPr>
          <w:color w:val="212121"/>
        </w:rPr>
        <w:t xml:space="preserve"> актуальность развития рынка производства литий-ионных аккумуляторов в России.</w:t>
      </w:r>
    </w:p>
    <w:p w:rsidR="002A7A4B" w:rsidRPr="00A91EE9" w:rsidRDefault="002A7A4B" w:rsidP="00A91EE9">
      <w:pPr>
        <w:numPr>
          <w:ilvl w:val="0"/>
          <w:numId w:val="2"/>
        </w:numPr>
        <w:shd w:val="clear" w:color="auto" w:fill="FFFFFF"/>
        <w:jc w:val="both"/>
        <w:rPr>
          <w:color w:val="212121"/>
        </w:rPr>
      </w:pPr>
      <w:r w:rsidRPr="00331F26">
        <w:rPr>
          <w:b/>
          <w:color w:val="212121"/>
        </w:rPr>
        <w:t>Рекомендовать</w:t>
      </w:r>
      <w:r w:rsidRPr="00331F26">
        <w:rPr>
          <w:color w:val="212121"/>
        </w:rPr>
        <w:t xml:space="preserve"> промышленным и энергетическим предприятиям УФО применять решения группы компании Азимут на базе использования литий-ионных аккумуляторных батарей.</w:t>
      </w:r>
    </w:p>
    <w:p w:rsidR="002A7A4B" w:rsidRPr="003F0D68" w:rsidRDefault="002A7A4B" w:rsidP="007B2B6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color w:val="000000"/>
        </w:rPr>
        <w:t xml:space="preserve">Рекомендовать </w:t>
      </w:r>
      <w:r>
        <w:rPr>
          <w:color w:val="000000"/>
        </w:rPr>
        <w:t>рассмотрение возможности применения  СНЭЭ  производства АО «Уралэлемент» при реализации пилотных проектов с целью повышения качества электрообеспечения</w:t>
      </w:r>
    </w:p>
    <w:p w:rsidR="002A7A4B" w:rsidRPr="00171D75" w:rsidRDefault="002A7A4B" w:rsidP="00A91EE9">
      <w:pPr>
        <w:pStyle w:val="ListParagraph"/>
        <w:numPr>
          <w:ilvl w:val="0"/>
          <w:numId w:val="5"/>
        </w:numPr>
        <w:jc w:val="both"/>
        <w:rPr>
          <w:b/>
        </w:rPr>
      </w:pPr>
      <w:r w:rsidRPr="00A91EE9">
        <w:rPr>
          <w:b/>
          <w:color w:val="000000"/>
        </w:rPr>
        <w:t>Рекомендовать</w:t>
      </w:r>
      <w:r w:rsidRPr="00A91EE9">
        <w:rPr>
          <w:color w:val="000000"/>
        </w:rPr>
        <w:t xml:space="preserve"> проектным институтам, муниципальным организациям, производственным и коммунальным предприятиям при проектировании, строительстве и реконструкции инженерных и энергетических систем с </w:t>
      </w:r>
    </w:p>
    <w:p w:rsidR="002A7A4B" w:rsidRDefault="002A7A4B" w:rsidP="00171D75">
      <w:pPr>
        <w:pStyle w:val="ListParagraph"/>
        <w:ind w:left="660"/>
        <w:jc w:val="both"/>
        <w:rPr>
          <w:b/>
          <w:color w:val="000000"/>
        </w:rPr>
      </w:pPr>
    </w:p>
    <w:p w:rsidR="002A7A4B" w:rsidRDefault="002A7A4B" w:rsidP="00171D75">
      <w:pPr>
        <w:pStyle w:val="ListParagraph"/>
        <w:ind w:left="660"/>
        <w:jc w:val="both"/>
        <w:rPr>
          <w:b/>
          <w:color w:val="000000"/>
        </w:rPr>
      </w:pPr>
    </w:p>
    <w:p w:rsidR="002A7A4B" w:rsidRDefault="002A7A4B" w:rsidP="00171D75">
      <w:pPr>
        <w:pStyle w:val="ListParagraph"/>
        <w:ind w:left="660"/>
        <w:jc w:val="both"/>
        <w:rPr>
          <w:b/>
          <w:color w:val="000000"/>
        </w:rPr>
      </w:pPr>
    </w:p>
    <w:p w:rsidR="002A7A4B" w:rsidRDefault="002A7A4B" w:rsidP="00171D75">
      <w:pPr>
        <w:pStyle w:val="ListParagraph"/>
        <w:ind w:left="660"/>
        <w:jc w:val="both"/>
        <w:rPr>
          <w:b/>
          <w:color w:val="000000"/>
        </w:rPr>
      </w:pPr>
    </w:p>
    <w:p w:rsidR="002A7A4B" w:rsidRPr="00A91EE9" w:rsidRDefault="002A7A4B" w:rsidP="00171D75">
      <w:pPr>
        <w:pStyle w:val="ListParagraph"/>
        <w:ind w:left="660"/>
        <w:jc w:val="both"/>
        <w:rPr>
          <w:b/>
        </w:rPr>
      </w:pPr>
      <w:r w:rsidRPr="00A91EE9">
        <w:rPr>
          <w:color w:val="000000"/>
        </w:rPr>
        <w:t>применением насосного оборудования, использовать опыт и знания специалистов ООО Вило Рус в Екатеринбурге с целью оптимизации решений, повышения надежности, энергоэффективности и снижения эксплуатационных затрат.</w:t>
      </w:r>
    </w:p>
    <w:p w:rsidR="002A7A4B" w:rsidRPr="00A91EE9" w:rsidRDefault="002A7A4B" w:rsidP="00A91EE9">
      <w:pPr>
        <w:pStyle w:val="ListParagraph"/>
        <w:numPr>
          <w:ilvl w:val="0"/>
          <w:numId w:val="5"/>
        </w:numPr>
        <w:jc w:val="both"/>
        <w:rPr>
          <w:b/>
        </w:rPr>
      </w:pPr>
      <w:r w:rsidRPr="00A91EE9">
        <w:rPr>
          <w:iCs/>
          <w:color w:val="000000"/>
          <w:shd w:val="clear" w:color="auto" w:fill="FFFFFF"/>
        </w:rPr>
        <w:t xml:space="preserve">По результатам многолетнего  положительного опыта эксплуатации трубопроводов ИЗОПРОФЛЕКС на объектах теплоснабжения Свердловской и Челябинской областей, Пермского края, а также территории Уральского федерального округа </w:t>
      </w:r>
      <w:r w:rsidRPr="00A91EE9">
        <w:rPr>
          <w:b/>
          <w:iCs/>
          <w:color w:val="000000"/>
          <w:shd w:val="clear" w:color="auto" w:fill="FFFFFF"/>
        </w:rPr>
        <w:t xml:space="preserve">рекомендовать: </w:t>
      </w:r>
      <w:r w:rsidRPr="00A91EE9">
        <w:rPr>
          <w:iCs/>
          <w:color w:val="000000"/>
          <w:shd w:val="clear" w:color="auto" w:fill="FFFFFF"/>
        </w:rPr>
        <w:t>с целью обеспечения снижения эксплуатационных затрат и тепловых потерь, безаварийной работы предприятий теплоснабжения и промышленного сектора, принять на  техническое перевооружение при строительстве тепловых сетей и сетей горячего водоснабжения гибкие предизолированные полимерные трубопроводы ИЗОПРОФЛЕКС из сшитого полиэтилена с армирующим слоем из высокомодульного волокна.</w:t>
      </w:r>
    </w:p>
    <w:p w:rsidR="002A7A4B" w:rsidRPr="005B130D" w:rsidRDefault="002A7A4B" w:rsidP="00A91EE9">
      <w:pPr>
        <w:numPr>
          <w:ilvl w:val="0"/>
          <w:numId w:val="5"/>
        </w:numPr>
        <w:ind w:left="709" w:hanging="409"/>
        <w:jc w:val="both"/>
        <w:rPr>
          <w:b/>
        </w:rPr>
      </w:pPr>
      <w:r w:rsidRPr="005B130D">
        <w:rPr>
          <w:b/>
          <w:bCs/>
          <w:color w:val="212121"/>
          <w:shd w:val="clear" w:color="auto" w:fill="FFFFFF"/>
        </w:rPr>
        <w:t>Отметить</w:t>
      </w:r>
      <w:r w:rsidRPr="005B130D">
        <w:rPr>
          <w:color w:val="212121"/>
          <w:shd w:val="clear" w:color="auto" w:fill="FFFFFF"/>
        </w:rPr>
        <w:t> важность международного</w:t>
      </w:r>
      <w:r>
        <w:rPr>
          <w:color w:val="212121"/>
          <w:shd w:val="clear" w:color="auto" w:fill="FFFFFF"/>
        </w:rPr>
        <w:t xml:space="preserve"> и межрегионального</w:t>
      </w:r>
      <w:r w:rsidRPr="005B130D">
        <w:rPr>
          <w:color w:val="212121"/>
          <w:shd w:val="clear" w:color="auto" w:fill="FFFFFF"/>
        </w:rPr>
        <w:t> взаимодействия и обмена опытом в условиях глобальной экономики. В связи с проведением жесткой санкционной политики со стороны западноевропейских стран, при вынужденных з</w:t>
      </w:r>
      <w:r>
        <w:rPr>
          <w:color w:val="212121"/>
          <w:shd w:val="clear" w:color="auto" w:fill="FFFFFF"/>
        </w:rPr>
        <w:t xml:space="preserve">акупках импортного оборудования - </w:t>
      </w:r>
      <w:r w:rsidRPr="005B130D">
        <w:rPr>
          <w:color w:val="212121"/>
          <w:shd w:val="clear" w:color="auto" w:fill="FFFFFF"/>
        </w:rPr>
        <w:t> рекомендовать компаниям укреплять взаимовыгодные отношения со странами-участниками БРИКС, в том числе с китайскими производителями.</w:t>
      </w:r>
    </w:p>
    <w:p w:rsidR="002A7A4B" w:rsidRPr="00171D75" w:rsidRDefault="002A7A4B" w:rsidP="00A91EE9">
      <w:pPr>
        <w:numPr>
          <w:ilvl w:val="0"/>
          <w:numId w:val="5"/>
        </w:numPr>
        <w:ind w:left="709" w:hanging="409"/>
        <w:jc w:val="both"/>
        <w:rPr>
          <w:b/>
        </w:rPr>
      </w:pPr>
      <w:r w:rsidRPr="005B130D">
        <w:rPr>
          <w:b/>
        </w:rPr>
        <w:t>Принять</w:t>
      </w:r>
      <w:r w:rsidRPr="005B130D">
        <w:t xml:space="preserve"> в </w:t>
      </w:r>
      <w:r w:rsidRPr="00A0106F">
        <w:t>состав</w:t>
      </w:r>
      <w:r w:rsidRPr="005B130D">
        <w:t xml:space="preserve"> Комитета </w:t>
      </w:r>
      <w:r>
        <w:t xml:space="preserve">Вялкова Дмитрия Владимировича, заместителя генерального директора </w:t>
      </w:r>
      <w:r w:rsidRPr="005B130D">
        <w:t>ОАО</w:t>
      </w:r>
      <w:r>
        <w:t xml:space="preserve"> «МРСК Урала,  Копылова Кирилла Николаевича, главного инженера проектов Большого Уральского региона ООО «Вило РУС», Кудрявцева Андрея Николаевича, главного инженера ООО «Экспертный центр»</w:t>
      </w:r>
    </w:p>
    <w:p w:rsidR="002A7A4B" w:rsidRPr="005B130D" w:rsidRDefault="002A7A4B" w:rsidP="00A91EE9">
      <w:pPr>
        <w:numPr>
          <w:ilvl w:val="0"/>
          <w:numId w:val="5"/>
        </w:numPr>
        <w:ind w:left="709" w:hanging="409"/>
        <w:jc w:val="both"/>
        <w:rPr>
          <w:b/>
        </w:rPr>
      </w:pPr>
      <w:r>
        <w:rPr>
          <w:b/>
        </w:rPr>
        <w:t xml:space="preserve">Наградить </w:t>
      </w:r>
      <w:r w:rsidRPr="00171D75">
        <w:t>членов Комитета</w:t>
      </w:r>
      <w:r>
        <w:t xml:space="preserve"> медалями, благодарностями в соответствии со списками</w:t>
      </w:r>
    </w:p>
    <w:p w:rsidR="002A7A4B" w:rsidRPr="005B130D" w:rsidRDefault="002A7A4B" w:rsidP="00A91EE9">
      <w:pPr>
        <w:numPr>
          <w:ilvl w:val="0"/>
          <w:numId w:val="5"/>
        </w:numPr>
        <w:ind w:left="709" w:hanging="409"/>
        <w:jc w:val="both"/>
        <w:rPr>
          <w:b/>
        </w:rPr>
      </w:pPr>
      <w:r>
        <w:rPr>
          <w:noProof/>
        </w:rPr>
        <w:pict>
          <v:shape id="Рисунок 2" o:spid="_x0000_s1026" type="#_x0000_t75" alt="Родин_подпись" style="position:absolute;left:0;text-align:left;margin-left:166.7pt;margin-top:118.95pt;width:165.75pt;height:178.35pt;z-index:251658240;visibility:visible">
            <v:imagedata r:id="rId9" o:title=""/>
          </v:shape>
        </w:pict>
      </w:r>
      <w:r w:rsidRPr="00A44794">
        <w:t>Продолжается работа по подготовку к изданию годового отчета за 2020г. начало 2021г.</w:t>
      </w:r>
      <w:r>
        <w:rPr>
          <w:b/>
        </w:rPr>
        <w:t xml:space="preserve"> </w:t>
      </w:r>
      <w:r w:rsidRPr="005B130D">
        <w:rPr>
          <w:b/>
        </w:rPr>
        <w:t>Рекомендовать</w:t>
      </w:r>
      <w:r>
        <w:t xml:space="preserve"> участникам совещания </w:t>
      </w:r>
      <w:r w:rsidRPr="00A44794">
        <w:rPr>
          <w:b/>
        </w:rPr>
        <w:t>принять</w:t>
      </w:r>
      <w:r>
        <w:t xml:space="preserve"> участие в издании  годового отчета Комитета по энергетике СОСПП за 2020-2021 г. "Опережающее инновационное развитие регионов – основа  устойчивого роста экономики " с публикациями экспертных, аналитических, информационных, инновационных и других материалов  на актуальные темы развития отраслей экономики, внедрения наилучших доступных технологий, энергосбережения, цифровых технологий, повышения надежности, подготовке кадров и других материалов.</w:t>
      </w:r>
      <w:r w:rsidRPr="005B130D">
        <w:rPr>
          <w:rFonts w:ascii="Courier New" w:hAnsi="Courier New" w:cs="Courier New"/>
          <w:sz w:val="20"/>
          <w:szCs w:val="20"/>
        </w:rPr>
        <w:t xml:space="preserve"> </w:t>
      </w:r>
    </w:p>
    <w:p w:rsidR="002A7A4B" w:rsidRPr="005B130D" w:rsidRDefault="002A7A4B" w:rsidP="00A44794">
      <w:pPr>
        <w:ind w:left="709"/>
        <w:jc w:val="both"/>
        <w:rPr>
          <w:b/>
        </w:rPr>
      </w:pPr>
    </w:p>
    <w:p w:rsidR="002A7A4B" w:rsidRDefault="002A7A4B" w:rsidP="00721CCC">
      <w:pPr>
        <w:pStyle w:val="BodyText"/>
        <w:spacing w:after="0"/>
        <w:jc w:val="both"/>
        <w:rPr>
          <w:color w:val="000000"/>
        </w:rPr>
      </w:pPr>
      <w:r w:rsidRPr="001C5E31">
        <w:rPr>
          <w:color w:val="000000"/>
        </w:rPr>
        <w:t xml:space="preserve">   </w:t>
      </w:r>
    </w:p>
    <w:p w:rsidR="002A7A4B" w:rsidRPr="005B130D" w:rsidRDefault="002A7A4B" w:rsidP="00721CCC">
      <w:pPr>
        <w:pStyle w:val="BodyText"/>
        <w:spacing w:after="0"/>
        <w:jc w:val="both"/>
        <w:rPr>
          <w:sz w:val="22"/>
          <w:szCs w:val="22"/>
        </w:rPr>
      </w:pPr>
    </w:p>
    <w:tbl>
      <w:tblPr>
        <w:tblW w:w="10116" w:type="dxa"/>
        <w:tblLook w:val="00A0"/>
      </w:tblPr>
      <w:tblGrid>
        <w:gridCol w:w="4219"/>
        <w:gridCol w:w="2969"/>
        <w:gridCol w:w="2928"/>
      </w:tblGrid>
      <w:tr w:rsidR="002A7A4B" w:rsidRPr="001B3E96" w:rsidTr="00E47004">
        <w:tc>
          <w:tcPr>
            <w:tcW w:w="4219" w:type="dxa"/>
          </w:tcPr>
          <w:p w:rsidR="002A7A4B" w:rsidRPr="005B130D" w:rsidRDefault="002A7A4B" w:rsidP="00E47004"/>
          <w:p w:rsidR="002A7A4B" w:rsidRPr="005B130D" w:rsidRDefault="002A7A4B" w:rsidP="00E47004">
            <w:r w:rsidRPr="005B130D">
              <w:t>Председатель  Комитета</w:t>
            </w:r>
          </w:p>
        </w:tc>
        <w:tc>
          <w:tcPr>
            <w:tcW w:w="2969" w:type="dxa"/>
          </w:tcPr>
          <w:p w:rsidR="002A7A4B" w:rsidRPr="005B130D" w:rsidRDefault="002A7A4B" w:rsidP="00E47004">
            <w:pPr>
              <w:jc w:val="both"/>
              <w:rPr>
                <w:b/>
              </w:rPr>
            </w:pPr>
          </w:p>
        </w:tc>
        <w:tc>
          <w:tcPr>
            <w:tcW w:w="2928" w:type="dxa"/>
          </w:tcPr>
          <w:p w:rsidR="002A7A4B" w:rsidRPr="005B130D" w:rsidRDefault="002A7A4B" w:rsidP="00E47004">
            <w:pPr>
              <w:jc w:val="both"/>
            </w:pPr>
          </w:p>
          <w:p w:rsidR="002A7A4B" w:rsidRPr="005B130D" w:rsidRDefault="002A7A4B" w:rsidP="00E47004">
            <w:pPr>
              <w:jc w:val="both"/>
            </w:pPr>
            <w:r w:rsidRPr="005B130D">
              <w:t>В.Н. Родин</w:t>
            </w:r>
          </w:p>
          <w:p w:rsidR="002A7A4B" w:rsidRPr="005B130D" w:rsidRDefault="002A7A4B" w:rsidP="00E47004">
            <w:pPr>
              <w:jc w:val="both"/>
            </w:pPr>
          </w:p>
        </w:tc>
      </w:tr>
    </w:tbl>
    <w:p w:rsidR="002A7A4B" w:rsidRDefault="002A7A4B" w:rsidP="00721CCC">
      <w:pPr>
        <w:rPr>
          <w:sz w:val="28"/>
          <w:szCs w:val="28"/>
        </w:rPr>
      </w:pPr>
    </w:p>
    <w:p w:rsidR="002A7A4B" w:rsidRDefault="002A7A4B"/>
    <w:sectPr w:rsidR="002A7A4B" w:rsidSect="006E05BF">
      <w:footerReference w:type="even" r:id="rId10"/>
      <w:footerReference w:type="default" r:id="rId11"/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4B" w:rsidRDefault="002A7A4B">
      <w:r>
        <w:separator/>
      </w:r>
    </w:p>
  </w:endnote>
  <w:endnote w:type="continuationSeparator" w:id="0">
    <w:p w:rsidR="002A7A4B" w:rsidRDefault="002A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B" w:rsidRDefault="002A7A4B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A4B" w:rsidRDefault="002A7A4B" w:rsidP="00D84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B" w:rsidRDefault="002A7A4B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7A4B" w:rsidRDefault="002A7A4B" w:rsidP="00D840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4B" w:rsidRDefault="002A7A4B">
      <w:r>
        <w:separator/>
      </w:r>
    </w:p>
  </w:footnote>
  <w:footnote w:type="continuationSeparator" w:id="0">
    <w:p w:rsidR="002A7A4B" w:rsidRDefault="002A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2C"/>
    <w:multiLevelType w:val="hybridMultilevel"/>
    <w:tmpl w:val="5DD2ABBA"/>
    <w:lvl w:ilvl="0" w:tplc="0EC624FC">
      <w:start w:val="9"/>
      <w:numFmt w:val="decimal"/>
      <w:lvlText w:val="%1"/>
      <w:lvlJc w:val="left"/>
      <w:pPr>
        <w:ind w:left="6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A850961"/>
    <w:multiLevelType w:val="hybridMultilevel"/>
    <w:tmpl w:val="D93EA88A"/>
    <w:lvl w:ilvl="0" w:tplc="65304124">
      <w:start w:val="1"/>
      <w:numFmt w:val="decimal"/>
      <w:lvlText w:val="%1."/>
      <w:lvlJc w:val="left"/>
      <w:pPr>
        <w:ind w:left="816" w:hanging="516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7166085"/>
    <w:multiLevelType w:val="multilevel"/>
    <w:tmpl w:val="287C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016CC0"/>
    <w:multiLevelType w:val="hybridMultilevel"/>
    <w:tmpl w:val="257C6740"/>
    <w:lvl w:ilvl="0" w:tplc="F554173C">
      <w:start w:val="7"/>
      <w:numFmt w:val="decimal"/>
      <w:lvlText w:val="%1"/>
      <w:lvlJc w:val="left"/>
      <w:pPr>
        <w:ind w:left="6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7FCB6A98"/>
    <w:multiLevelType w:val="hybridMultilevel"/>
    <w:tmpl w:val="90BACFDC"/>
    <w:lvl w:ilvl="0" w:tplc="AE14E07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CC"/>
    <w:rsid w:val="000027B6"/>
    <w:rsid w:val="00005E5B"/>
    <w:rsid w:val="00006B08"/>
    <w:rsid w:val="00012483"/>
    <w:rsid w:val="00017FC6"/>
    <w:rsid w:val="0003170B"/>
    <w:rsid w:val="00033F30"/>
    <w:rsid w:val="000341AF"/>
    <w:rsid w:val="00045C9F"/>
    <w:rsid w:val="00047257"/>
    <w:rsid w:val="00050BBA"/>
    <w:rsid w:val="0005467F"/>
    <w:rsid w:val="00063638"/>
    <w:rsid w:val="00066E49"/>
    <w:rsid w:val="00067DA4"/>
    <w:rsid w:val="000834FB"/>
    <w:rsid w:val="0009333C"/>
    <w:rsid w:val="000B3A31"/>
    <w:rsid w:val="000B6352"/>
    <w:rsid w:val="000B6F1F"/>
    <w:rsid w:val="000C1623"/>
    <w:rsid w:val="000D0D2D"/>
    <w:rsid w:val="000D0F6B"/>
    <w:rsid w:val="000D5ECE"/>
    <w:rsid w:val="000E041A"/>
    <w:rsid w:val="000F0975"/>
    <w:rsid w:val="000F159B"/>
    <w:rsid w:val="000F2725"/>
    <w:rsid w:val="000F3847"/>
    <w:rsid w:val="0010437F"/>
    <w:rsid w:val="0010507D"/>
    <w:rsid w:val="0010528D"/>
    <w:rsid w:val="0010564B"/>
    <w:rsid w:val="00106460"/>
    <w:rsid w:val="001076F9"/>
    <w:rsid w:val="0010794B"/>
    <w:rsid w:val="001101B8"/>
    <w:rsid w:val="0011246F"/>
    <w:rsid w:val="00112905"/>
    <w:rsid w:val="001156D2"/>
    <w:rsid w:val="001166E5"/>
    <w:rsid w:val="001309AA"/>
    <w:rsid w:val="00133874"/>
    <w:rsid w:val="00140A2C"/>
    <w:rsid w:val="00152B18"/>
    <w:rsid w:val="001530A3"/>
    <w:rsid w:val="00153DC3"/>
    <w:rsid w:val="00162488"/>
    <w:rsid w:val="001635AF"/>
    <w:rsid w:val="00163BFC"/>
    <w:rsid w:val="00171D75"/>
    <w:rsid w:val="001741FC"/>
    <w:rsid w:val="00177132"/>
    <w:rsid w:val="00190237"/>
    <w:rsid w:val="001A62D2"/>
    <w:rsid w:val="001A7D9E"/>
    <w:rsid w:val="001B3E96"/>
    <w:rsid w:val="001B55BE"/>
    <w:rsid w:val="001C54BA"/>
    <w:rsid w:val="001C5E31"/>
    <w:rsid w:val="001E05AB"/>
    <w:rsid w:val="001E1FF3"/>
    <w:rsid w:val="00201941"/>
    <w:rsid w:val="0020526E"/>
    <w:rsid w:val="00207D5A"/>
    <w:rsid w:val="002123B5"/>
    <w:rsid w:val="002132E7"/>
    <w:rsid w:val="002155ED"/>
    <w:rsid w:val="00222340"/>
    <w:rsid w:val="00240B84"/>
    <w:rsid w:val="00240F0B"/>
    <w:rsid w:val="00245CFE"/>
    <w:rsid w:val="0026027E"/>
    <w:rsid w:val="002603C7"/>
    <w:rsid w:val="00265F7F"/>
    <w:rsid w:val="00266462"/>
    <w:rsid w:val="0027563D"/>
    <w:rsid w:val="002A4CB3"/>
    <w:rsid w:val="002A7A4B"/>
    <w:rsid w:val="002B1412"/>
    <w:rsid w:val="002C1C02"/>
    <w:rsid w:val="002C1CF5"/>
    <w:rsid w:val="002E3A5D"/>
    <w:rsid w:val="002F403A"/>
    <w:rsid w:val="002F762D"/>
    <w:rsid w:val="002F7A8F"/>
    <w:rsid w:val="00302632"/>
    <w:rsid w:val="0030267B"/>
    <w:rsid w:val="003050B6"/>
    <w:rsid w:val="00307290"/>
    <w:rsid w:val="00311A3A"/>
    <w:rsid w:val="00313BF8"/>
    <w:rsid w:val="00320B5E"/>
    <w:rsid w:val="00320C1F"/>
    <w:rsid w:val="003259B9"/>
    <w:rsid w:val="00325D8F"/>
    <w:rsid w:val="00331F26"/>
    <w:rsid w:val="00332053"/>
    <w:rsid w:val="00340910"/>
    <w:rsid w:val="003424FB"/>
    <w:rsid w:val="00342CEB"/>
    <w:rsid w:val="00345389"/>
    <w:rsid w:val="00365488"/>
    <w:rsid w:val="003678D8"/>
    <w:rsid w:val="00372C13"/>
    <w:rsid w:val="00374066"/>
    <w:rsid w:val="00375038"/>
    <w:rsid w:val="003843EB"/>
    <w:rsid w:val="003847CE"/>
    <w:rsid w:val="0039033E"/>
    <w:rsid w:val="00390444"/>
    <w:rsid w:val="00392A2B"/>
    <w:rsid w:val="003A2C81"/>
    <w:rsid w:val="003A33C2"/>
    <w:rsid w:val="003B2CE9"/>
    <w:rsid w:val="003B5006"/>
    <w:rsid w:val="003C0661"/>
    <w:rsid w:val="003C252E"/>
    <w:rsid w:val="003C67A0"/>
    <w:rsid w:val="003D05A0"/>
    <w:rsid w:val="003F0D68"/>
    <w:rsid w:val="004039B4"/>
    <w:rsid w:val="0041107C"/>
    <w:rsid w:val="00413971"/>
    <w:rsid w:val="00415D56"/>
    <w:rsid w:val="00421B7C"/>
    <w:rsid w:val="00424299"/>
    <w:rsid w:val="0042466A"/>
    <w:rsid w:val="00426FD1"/>
    <w:rsid w:val="0042748D"/>
    <w:rsid w:val="00434A1C"/>
    <w:rsid w:val="00435F3A"/>
    <w:rsid w:val="00443828"/>
    <w:rsid w:val="004454A8"/>
    <w:rsid w:val="00447090"/>
    <w:rsid w:val="0045491C"/>
    <w:rsid w:val="004624B0"/>
    <w:rsid w:val="00471C70"/>
    <w:rsid w:val="0047471A"/>
    <w:rsid w:val="004748EA"/>
    <w:rsid w:val="004A4817"/>
    <w:rsid w:val="004A4EF3"/>
    <w:rsid w:val="004A740D"/>
    <w:rsid w:val="004A77E3"/>
    <w:rsid w:val="004B12B7"/>
    <w:rsid w:val="004B4E8E"/>
    <w:rsid w:val="004B62BD"/>
    <w:rsid w:val="004B74FC"/>
    <w:rsid w:val="004D0C20"/>
    <w:rsid w:val="004D1BB8"/>
    <w:rsid w:val="004D22E5"/>
    <w:rsid w:val="004E1DED"/>
    <w:rsid w:val="004E6CF5"/>
    <w:rsid w:val="004F4587"/>
    <w:rsid w:val="00501923"/>
    <w:rsid w:val="0050444E"/>
    <w:rsid w:val="00506DDB"/>
    <w:rsid w:val="0051084E"/>
    <w:rsid w:val="0051149C"/>
    <w:rsid w:val="0051421E"/>
    <w:rsid w:val="005145C4"/>
    <w:rsid w:val="0051602F"/>
    <w:rsid w:val="00516FE1"/>
    <w:rsid w:val="00520789"/>
    <w:rsid w:val="00527464"/>
    <w:rsid w:val="0053039C"/>
    <w:rsid w:val="00532A14"/>
    <w:rsid w:val="00532D4A"/>
    <w:rsid w:val="00544926"/>
    <w:rsid w:val="00545759"/>
    <w:rsid w:val="00546E8D"/>
    <w:rsid w:val="00547C06"/>
    <w:rsid w:val="00550666"/>
    <w:rsid w:val="0055529E"/>
    <w:rsid w:val="00562DE0"/>
    <w:rsid w:val="00564402"/>
    <w:rsid w:val="00573DC0"/>
    <w:rsid w:val="00580765"/>
    <w:rsid w:val="00584BC9"/>
    <w:rsid w:val="00584FC2"/>
    <w:rsid w:val="0058701A"/>
    <w:rsid w:val="005A118D"/>
    <w:rsid w:val="005A3CC2"/>
    <w:rsid w:val="005A3E52"/>
    <w:rsid w:val="005B0A76"/>
    <w:rsid w:val="005B130D"/>
    <w:rsid w:val="005B491B"/>
    <w:rsid w:val="005B6D8B"/>
    <w:rsid w:val="005C2130"/>
    <w:rsid w:val="005C607E"/>
    <w:rsid w:val="005E749F"/>
    <w:rsid w:val="005F35EA"/>
    <w:rsid w:val="005F6AD4"/>
    <w:rsid w:val="006070F7"/>
    <w:rsid w:val="006109AF"/>
    <w:rsid w:val="00611DCE"/>
    <w:rsid w:val="00615B94"/>
    <w:rsid w:val="00620029"/>
    <w:rsid w:val="00621AEE"/>
    <w:rsid w:val="00625FE8"/>
    <w:rsid w:val="006264D9"/>
    <w:rsid w:val="006266FF"/>
    <w:rsid w:val="00644BB1"/>
    <w:rsid w:val="00656842"/>
    <w:rsid w:val="006734A9"/>
    <w:rsid w:val="00681116"/>
    <w:rsid w:val="00682A2E"/>
    <w:rsid w:val="00685D4E"/>
    <w:rsid w:val="00687C2F"/>
    <w:rsid w:val="0069194D"/>
    <w:rsid w:val="006A0DCA"/>
    <w:rsid w:val="006A5C3C"/>
    <w:rsid w:val="006B47B7"/>
    <w:rsid w:val="006B49D2"/>
    <w:rsid w:val="006B6ADD"/>
    <w:rsid w:val="006B7E2F"/>
    <w:rsid w:val="006C6CA6"/>
    <w:rsid w:val="006C7EDA"/>
    <w:rsid w:val="006D6DFF"/>
    <w:rsid w:val="006E05BF"/>
    <w:rsid w:val="006E0D62"/>
    <w:rsid w:val="006E17A0"/>
    <w:rsid w:val="006E4917"/>
    <w:rsid w:val="006F0C3E"/>
    <w:rsid w:val="00705450"/>
    <w:rsid w:val="007208DA"/>
    <w:rsid w:val="00721C79"/>
    <w:rsid w:val="00721CCC"/>
    <w:rsid w:val="00723A96"/>
    <w:rsid w:val="00735519"/>
    <w:rsid w:val="00736204"/>
    <w:rsid w:val="00737D29"/>
    <w:rsid w:val="0074267B"/>
    <w:rsid w:val="0074490E"/>
    <w:rsid w:val="007466ED"/>
    <w:rsid w:val="007514D7"/>
    <w:rsid w:val="00754783"/>
    <w:rsid w:val="007569E4"/>
    <w:rsid w:val="0075738B"/>
    <w:rsid w:val="0076158A"/>
    <w:rsid w:val="007633A3"/>
    <w:rsid w:val="00763E20"/>
    <w:rsid w:val="007806C5"/>
    <w:rsid w:val="00782CA2"/>
    <w:rsid w:val="00783140"/>
    <w:rsid w:val="00792124"/>
    <w:rsid w:val="00793690"/>
    <w:rsid w:val="00795FF5"/>
    <w:rsid w:val="00796687"/>
    <w:rsid w:val="007A1D67"/>
    <w:rsid w:val="007B2B66"/>
    <w:rsid w:val="007C0D3F"/>
    <w:rsid w:val="007C41E2"/>
    <w:rsid w:val="007C5472"/>
    <w:rsid w:val="007D0364"/>
    <w:rsid w:val="007D7D1D"/>
    <w:rsid w:val="007D7D9B"/>
    <w:rsid w:val="007E2938"/>
    <w:rsid w:val="007E3B65"/>
    <w:rsid w:val="007E581D"/>
    <w:rsid w:val="007E5A20"/>
    <w:rsid w:val="007F581C"/>
    <w:rsid w:val="00811D42"/>
    <w:rsid w:val="008203C1"/>
    <w:rsid w:val="00822801"/>
    <w:rsid w:val="00823986"/>
    <w:rsid w:val="0082618B"/>
    <w:rsid w:val="00833DAA"/>
    <w:rsid w:val="008460E7"/>
    <w:rsid w:val="00846C04"/>
    <w:rsid w:val="00850AC9"/>
    <w:rsid w:val="00852A3B"/>
    <w:rsid w:val="00860190"/>
    <w:rsid w:val="00873C8A"/>
    <w:rsid w:val="0087424A"/>
    <w:rsid w:val="00875F23"/>
    <w:rsid w:val="00882D28"/>
    <w:rsid w:val="0089259A"/>
    <w:rsid w:val="0089293A"/>
    <w:rsid w:val="008A1803"/>
    <w:rsid w:val="008A73A1"/>
    <w:rsid w:val="008B57F2"/>
    <w:rsid w:val="008B7D19"/>
    <w:rsid w:val="008C1BDA"/>
    <w:rsid w:val="008C2D73"/>
    <w:rsid w:val="008C3C24"/>
    <w:rsid w:val="008C7D91"/>
    <w:rsid w:val="008D026B"/>
    <w:rsid w:val="008D5149"/>
    <w:rsid w:val="008D5851"/>
    <w:rsid w:val="008D6D09"/>
    <w:rsid w:val="008E0BAB"/>
    <w:rsid w:val="008E1B02"/>
    <w:rsid w:val="008E726B"/>
    <w:rsid w:val="008F2599"/>
    <w:rsid w:val="009004E0"/>
    <w:rsid w:val="009053E1"/>
    <w:rsid w:val="00921513"/>
    <w:rsid w:val="00921B01"/>
    <w:rsid w:val="00931BE6"/>
    <w:rsid w:val="00955DB7"/>
    <w:rsid w:val="00957365"/>
    <w:rsid w:val="009642E4"/>
    <w:rsid w:val="00965F82"/>
    <w:rsid w:val="0097117B"/>
    <w:rsid w:val="009718E6"/>
    <w:rsid w:val="00971D1A"/>
    <w:rsid w:val="00974A5F"/>
    <w:rsid w:val="00984A43"/>
    <w:rsid w:val="00985A20"/>
    <w:rsid w:val="009A1EB4"/>
    <w:rsid w:val="009A2B43"/>
    <w:rsid w:val="009A2EFF"/>
    <w:rsid w:val="009A42A6"/>
    <w:rsid w:val="009B16DF"/>
    <w:rsid w:val="009B52AD"/>
    <w:rsid w:val="009B6357"/>
    <w:rsid w:val="009C12B8"/>
    <w:rsid w:val="009C440E"/>
    <w:rsid w:val="009C4E54"/>
    <w:rsid w:val="009D7153"/>
    <w:rsid w:val="009E1B15"/>
    <w:rsid w:val="009E4C96"/>
    <w:rsid w:val="009F3C42"/>
    <w:rsid w:val="009F4C1E"/>
    <w:rsid w:val="00A00B53"/>
    <w:rsid w:val="00A00D1C"/>
    <w:rsid w:val="00A0106F"/>
    <w:rsid w:val="00A02DDC"/>
    <w:rsid w:val="00A136DD"/>
    <w:rsid w:val="00A32DAB"/>
    <w:rsid w:val="00A4257A"/>
    <w:rsid w:val="00A44794"/>
    <w:rsid w:val="00A509FF"/>
    <w:rsid w:val="00A5133D"/>
    <w:rsid w:val="00A56DA1"/>
    <w:rsid w:val="00A576CC"/>
    <w:rsid w:val="00A6126E"/>
    <w:rsid w:val="00A6326B"/>
    <w:rsid w:val="00A63B5E"/>
    <w:rsid w:val="00A647CA"/>
    <w:rsid w:val="00A66760"/>
    <w:rsid w:val="00A74CF5"/>
    <w:rsid w:val="00A76DF0"/>
    <w:rsid w:val="00A91EE9"/>
    <w:rsid w:val="00A97560"/>
    <w:rsid w:val="00AA0219"/>
    <w:rsid w:val="00AA0B6F"/>
    <w:rsid w:val="00AA532B"/>
    <w:rsid w:val="00AA5785"/>
    <w:rsid w:val="00AA7167"/>
    <w:rsid w:val="00AB359D"/>
    <w:rsid w:val="00AB3FF4"/>
    <w:rsid w:val="00AC131A"/>
    <w:rsid w:val="00AC529A"/>
    <w:rsid w:val="00AC70D3"/>
    <w:rsid w:val="00AD5059"/>
    <w:rsid w:val="00AE2870"/>
    <w:rsid w:val="00AE3384"/>
    <w:rsid w:val="00AE3697"/>
    <w:rsid w:val="00AE4426"/>
    <w:rsid w:val="00AF2322"/>
    <w:rsid w:val="00AF4ED3"/>
    <w:rsid w:val="00B03696"/>
    <w:rsid w:val="00B04362"/>
    <w:rsid w:val="00B04D9C"/>
    <w:rsid w:val="00B16912"/>
    <w:rsid w:val="00B23BF2"/>
    <w:rsid w:val="00B253CF"/>
    <w:rsid w:val="00B25D03"/>
    <w:rsid w:val="00B300F0"/>
    <w:rsid w:val="00B30943"/>
    <w:rsid w:val="00B30A60"/>
    <w:rsid w:val="00B43CAD"/>
    <w:rsid w:val="00B566D1"/>
    <w:rsid w:val="00B642F1"/>
    <w:rsid w:val="00B67C72"/>
    <w:rsid w:val="00B76007"/>
    <w:rsid w:val="00B82323"/>
    <w:rsid w:val="00B839E5"/>
    <w:rsid w:val="00B86C3F"/>
    <w:rsid w:val="00B9091C"/>
    <w:rsid w:val="00B944F8"/>
    <w:rsid w:val="00BA177D"/>
    <w:rsid w:val="00BB277C"/>
    <w:rsid w:val="00BB681D"/>
    <w:rsid w:val="00BB6A8B"/>
    <w:rsid w:val="00BD504C"/>
    <w:rsid w:val="00BD5B9C"/>
    <w:rsid w:val="00BE1A96"/>
    <w:rsid w:val="00BE1DB3"/>
    <w:rsid w:val="00BE3608"/>
    <w:rsid w:val="00BE4545"/>
    <w:rsid w:val="00BE5159"/>
    <w:rsid w:val="00C2008A"/>
    <w:rsid w:val="00C21DC0"/>
    <w:rsid w:val="00C26634"/>
    <w:rsid w:val="00C3003D"/>
    <w:rsid w:val="00C32E7E"/>
    <w:rsid w:val="00C42450"/>
    <w:rsid w:val="00C52C9D"/>
    <w:rsid w:val="00C52DF1"/>
    <w:rsid w:val="00C54980"/>
    <w:rsid w:val="00C6327F"/>
    <w:rsid w:val="00C85883"/>
    <w:rsid w:val="00C87281"/>
    <w:rsid w:val="00CA4010"/>
    <w:rsid w:val="00CA7509"/>
    <w:rsid w:val="00CB39A9"/>
    <w:rsid w:val="00CB7E25"/>
    <w:rsid w:val="00CC5C63"/>
    <w:rsid w:val="00CC7633"/>
    <w:rsid w:val="00CD63C0"/>
    <w:rsid w:val="00CD6A5F"/>
    <w:rsid w:val="00CE5BD5"/>
    <w:rsid w:val="00CE69AB"/>
    <w:rsid w:val="00CF0024"/>
    <w:rsid w:val="00CF27D5"/>
    <w:rsid w:val="00CF539A"/>
    <w:rsid w:val="00CF5BA6"/>
    <w:rsid w:val="00CF7662"/>
    <w:rsid w:val="00D03B0C"/>
    <w:rsid w:val="00D1293B"/>
    <w:rsid w:val="00D16988"/>
    <w:rsid w:val="00D37D6D"/>
    <w:rsid w:val="00D434C4"/>
    <w:rsid w:val="00D45772"/>
    <w:rsid w:val="00D558CA"/>
    <w:rsid w:val="00D63959"/>
    <w:rsid w:val="00D77D40"/>
    <w:rsid w:val="00D8406C"/>
    <w:rsid w:val="00D84451"/>
    <w:rsid w:val="00D938D9"/>
    <w:rsid w:val="00D9410C"/>
    <w:rsid w:val="00DA0E9A"/>
    <w:rsid w:val="00DB0A19"/>
    <w:rsid w:val="00DB5FE3"/>
    <w:rsid w:val="00DC1C37"/>
    <w:rsid w:val="00DC4B3F"/>
    <w:rsid w:val="00DC56C9"/>
    <w:rsid w:val="00DC588E"/>
    <w:rsid w:val="00DC6751"/>
    <w:rsid w:val="00DE5BF3"/>
    <w:rsid w:val="00DE6053"/>
    <w:rsid w:val="00DF0503"/>
    <w:rsid w:val="00DF611A"/>
    <w:rsid w:val="00DF667B"/>
    <w:rsid w:val="00DF6934"/>
    <w:rsid w:val="00E00AD7"/>
    <w:rsid w:val="00E0316E"/>
    <w:rsid w:val="00E04B7F"/>
    <w:rsid w:val="00E0508F"/>
    <w:rsid w:val="00E31049"/>
    <w:rsid w:val="00E338E2"/>
    <w:rsid w:val="00E446B5"/>
    <w:rsid w:val="00E468E8"/>
    <w:rsid w:val="00E4696D"/>
    <w:rsid w:val="00E47004"/>
    <w:rsid w:val="00E5448D"/>
    <w:rsid w:val="00E636AF"/>
    <w:rsid w:val="00E663B8"/>
    <w:rsid w:val="00E7023B"/>
    <w:rsid w:val="00E82244"/>
    <w:rsid w:val="00E86792"/>
    <w:rsid w:val="00E951AF"/>
    <w:rsid w:val="00E96E78"/>
    <w:rsid w:val="00EA29F9"/>
    <w:rsid w:val="00EA5C5C"/>
    <w:rsid w:val="00EA6C16"/>
    <w:rsid w:val="00EB24C5"/>
    <w:rsid w:val="00EC2E58"/>
    <w:rsid w:val="00ED213D"/>
    <w:rsid w:val="00ED6D15"/>
    <w:rsid w:val="00EE1606"/>
    <w:rsid w:val="00EE4FA2"/>
    <w:rsid w:val="00EE6FB6"/>
    <w:rsid w:val="00EF0C6C"/>
    <w:rsid w:val="00EF5B7A"/>
    <w:rsid w:val="00F031E6"/>
    <w:rsid w:val="00F05DFF"/>
    <w:rsid w:val="00F060BC"/>
    <w:rsid w:val="00F13900"/>
    <w:rsid w:val="00F26690"/>
    <w:rsid w:val="00F37412"/>
    <w:rsid w:val="00F37F31"/>
    <w:rsid w:val="00F4240D"/>
    <w:rsid w:val="00F4588F"/>
    <w:rsid w:val="00F514B2"/>
    <w:rsid w:val="00F57053"/>
    <w:rsid w:val="00F62A75"/>
    <w:rsid w:val="00F85533"/>
    <w:rsid w:val="00F85818"/>
    <w:rsid w:val="00F92308"/>
    <w:rsid w:val="00F97E7B"/>
    <w:rsid w:val="00FD2AE5"/>
    <w:rsid w:val="00FD5363"/>
    <w:rsid w:val="00FE0457"/>
    <w:rsid w:val="00FE172A"/>
    <w:rsid w:val="00FE343E"/>
    <w:rsid w:val="00FF17F9"/>
    <w:rsid w:val="00F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C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CCC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1CCC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1C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1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C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21C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21C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1CC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21CC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21CC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1CCC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2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CCC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DefaultParagraphFont"/>
    <w:uiPriority w:val="99"/>
    <w:rsid w:val="00B86C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0D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lov@mrsk-ur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1232</Words>
  <Characters>7024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Зибарев Ю П</cp:lastModifiedBy>
  <cp:revision>2</cp:revision>
  <cp:lastPrinted>2021-01-27T11:55:00Z</cp:lastPrinted>
  <dcterms:created xsi:type="dcterms:W3CDTF">2021-02-11T06:23:00Z</dcterms:created>
  <dcterms:modified xsi:type="dcterms:W3CDTF">2021-02-11T06:23:00Z</dcterms:modified>
</cp:coreProperties>
</file>